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580" w:lineRule="exact"/>
        <w:rPr>
          <w:rFonts w:ascii="黑体" w:hAnsi="黑体" w:eastAsia="黑体" w:cs="仿宋_GB2312"/>
          <w:sz w:val="32"/>
          <w:szCs w:val="32"/>
        </w:rPr>
      </w:pPr>
      <w:r>
        <w:rPr>
          <w:rFonts w:hint="eastAsia" w:ascii="黑体" w:hAnsi="黑体" w:eastAsia="黑体" w:cs="仿宋_GB2312"/>
          <w:sz w:val="32"/>
          <w:szCs w:val="32"/>
        </w:rPr>
        <w:t>附件3</w:t>
      </w:r>
    </w:p>
    <w:p>
      <w:pPr>
        <w:pStyle w:val="2"/>
        <w:widowControl w:val="0"/>
        <w:overflowPunct w:val="0"/>
        <w:spacing w:line="580" w:lineRule="exact"/>
        <w:rPr>
          <w:kern w:val="2"/>
        </w:rPr>
      </w:pPr>
    </w:p>
    <w:p>
      <w:pPr>
        <w:overflowPunct w:val="0"/>
        <w:spacing w:line="58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w:t>
      </w:r>
      <w:r>
        <w:rPr>
          <w:rFonts w:hint="eastAsia" w:ascii="方正小标宋简体" w:hAnsi="Times New Roman" w:eastAsia="方正小标宋简体" w:cs="Times New Roman"/>
          <w:sz w:val="44"/>
          <w:szCs w:val="44"/>
          <w:lang w:val="en-US" w:eastAsia="zh-CN"/>
        </w:rPr>
        <w:t>茂名</w:t>
      </w:r>
      <w:r>
        <w:rPr>
          <w:rFonts w:hint="eastAsia" w:ascii="方正小标宋简体" w:hAnsi="Times New Roman" w:eastAsia="方正小标宋简体" w:cs="Times New Roman"/>
          <w:sz w:val="44"/>
          <w:szCs w:val="44"/>
        </w:rPr>
        <w:t>市城镇土地使用税适用税额实施方案（</w:t>
      </w:r>
      <w:r>
        <w:rPr>
          <w:rFonts w:hint="eastAsia" w:ascii="方正小标宋简体" w:hAnsi="Times New Roman" w:eastAsia="方正小标宋简体" w:cs="Times New Roman"/>
          <w:sz w:val="44"/>
          <w:szCs w:val="44"/>
          <w:lang w:val="en-US" w:eastAsia="zh-CN"/>
        </w:rPr>
        <w:t>征求意见稿</w:t>
      </w:r>
      <w:r>
        <w:rPr>
          <w:rFonts w:hint="eastAsia" w:ascii="方正小标宋简体" w:hAnsi="Times New Roman" w:eastAsia="方正小标宋简体" w:cs="Times New Roman"/>
          <w:sz w:val="44"/>
          <w:szCs w:val="44"/>
        </w:rPr>
        <w:t>）》起草说明</w:t>
      </w:r>
    </w:p>
    <w:p>
      <w:pPr>
        <w:overflowPunct w:val="0"/>
        <w:spacing w:line="580" w:lineRule="exact"/>
        <w:jc w:val="center"/>
        <w:rPr>
          <w:rFonts w:ascii="仿宋_GB2312" w:hAnsi="仿宋_GB2312" w:eastAsia="仿宋_GB2312" w:cs="仿宋_GB2312"/>
          <w:sz w:val="32"/>
          <w:szCs w:val="32"/>
        </w:rPr>
      </w:pPr>
    </w:p>
    <w:p>
      <w:pPr>
        <w:overflowPunct w:val="0"/>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根据《广东省财政厅 国家税务总局广东省税务局关于延续实施城镇土地使用税税额标准的通知》（粤财规</w:t>
      </w:r>
      <w:r>
        <w:rPr>
          <w:rFonts w:hint="eastAsia" w:ascii="仿宋_GB2312" w:eastAsia="仿宋_GB2312"/>
          <w:sz w:val="32"/>
          <w:szCs w:val="32"/>
        </w:rPr>
        <w:t>〔2022〕5号</w:t>
      </w:r>
      <w:r>
        <w:rPr>
          <w:rFonts w:hint="eastAsia" w:ascii="仿宋_GB2312" w:hAnsi="仿宋_GB2312" w:eastAsia="仿宋_GB2312" w:cs="仿宋_GB2312"/>
          <w:sz w:val="32"/>
          <w:szCs w:val="32"/>
        </w:rPr>
        <w:t>）精神，结合2017年以来我市</w:t>
      </w:r>
      <w:r>
        <w:rPr>
          <w:rFonts w:hint="eastAsia" w:ascii="仿宋_GB2312" w:hAnsi="仿宋_GB2312" w:eastAsia="仿宋_GB2312" w:cs="仿宋_GB2312"/>
          <w:b w:val="0"/>
          <w:bCs w:val="0"/>
          <w:sz w:val="32"/>
          <w:szCs w:val="32"/>
          <w:lang w:val="en-US" w:eastAsia="zh-CN"/>
        </w:rPr>
        <w:t>经济发展、道路名称、标志性建筑物名称</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实际变化</w:t>
      </w:r>
      <w:r>
        <w:rPr>
          <w:rFonts w:hint="eastAsia" w:ascii="仿宋_GB2312" w:hAnsi="仿宋_GB2312" w:eastAsia="仿宋_GB2312" w:cs="仿宋_GB2312"/>
          <w:sz w:val="32"/>
          <w:szCs w:val="32"/>
        </w:rPr>
        <w:t>情况，市财政局、市税务局联合草拟了《</w:t>
      </w:r>
      <w:r>
        <w:rPr>
          <w:rFonts w:hint="eastAsia" w:ascii="仿宋_GB2312" w:hAnsi="仿宋_GB2312" w:eastAsia="仿宋_GB2312" w:cs="仿宋_GB2312"/>
          <w:sz w:val="32"/>
          <w:szCs w:val="32"/>
          <w:lang w:val="en-US" w:eastAsia="zh-CN"/>
        </w:rPr>
        <w:t>茂名市</w:t>
      </w:r>
      <w:r>
        <w:rPr>
          <w:rFonts w:hint="eastAsia" w:ascii="仿宋_GB2312" w:hAnsi="仿宋_GB2312" w:eastAsia="仿宋_GB2312" w:cs="仿宋_GB2312"/>
          <w:sz w:val="32"/>
          <w:szCs w:val="32"/>
        </w:rPr>
        <w:t>城镇土地使用税适用税额实施方案（征求意见稿）》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现将起草的情况说明如下：</w:t>
      </w:r>
    </w:p>
    <w:p>
      <w:pPr>
        <w:overflowPunct w:val="0"/>
        <w:spacing w:line="580" w:lineRule="exact"/>
        <w:ind w:firstLine="640" w:firstLineChars="200"/>
        <w:rPr>
          <w:rFonts w:ascii="Times New Roman" w:hAnsi="Times New Roman" w:eastAsia="黑体" w:cs="Times New Roman"/>
          <w:bCs/>
          <w:sz w:val="32"/>
          <w:szCs w:val="32"/>
        </w:rPr>
      </w:pPr>
      <w:r>
        <w:rPr>
          <w:rFonts w:hint="eastAsia" w:ascii="Times New Roman" w:hAnsi="Times New Roman" w:eastAsia="黑体" w:cs="Times New Roman"/>
          <w:bCs/>
          <w:sz w:val="32"/>
          <w:szCs w:val="32"/>
        </w:rPr>
        <w:t>一、</w:t>
      </w:r>
      <w:r>
        <w:rPr>
          <w:rFonts w:hint="eastAsia" w:ascii="Times New Roman" w:hAnsi="Times New Roman" w:eastAsia="黑体" w:cs="Times New Roman"/>
          <w:bCs/>
          <w:sz w:val="32"/>
          <w:szCs w:val="32"/>
          <w:lang w:val="en-US" w:eastAsia="zh-CN"/>
        </w:rPr>
        <w:t>起草</w:t>
      </w:r>
      <w:r>
        <w:rPr>
          <w:rFonts w:hint="eastAsia" w:ascii="Times New Roman" w:hAnsi="Times New Roman" w:eastAsia="黑体" w:cs="Times New Roman"/>
          <w:bCs/>
          <w:sz w:val="32"/>
          <w:szCs w:val="32"/>
        </w:rPr>
        <w:t>背景</w:t>
      </w:r>
    </w:p>
    <w:p>
      <w:pPr>
        <w:overflowPunct w:val="0"/>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2017年9月29日，省财政厅、省地方税务局印发《关于调整城镇土地使用税税额标准的通知》（粤财规</w:t>
      </w:r>
      <w:r>
        <w:rPr>
          <w:rFonts w:hint="eastAsia" w:ascii="仿宋_GB2312" w:eastAsia="仿宋_GB2312"/>
          <w:sz w:val="32"/>
          <w:szCs w:val="32"/>
        </w:rPr>
        <w:t>〔2017〕4号</w:t>
      </w:r>
      <w:r>
        <w:rPr>
          <w:rFonts w:hint="eastAsia" w:ascii="仿宋_GB2312" w:hAnsi="仿宋_GB2312" w:eastAsia="仿宋_GB2312" w:cs="仿宋_GB2312"/>
          <w:sz w:val="32"/>
          <w:szCs w:val="32"/>
        </w:rPr>
        <w:t>），明确在国家规定的幅度内适当调整我省各地城镇土地使用税税额标准。经省政府批复同意，</w:t>
      </w:r>
      <w:r>
        <w:rPr>
          <w:rFonts w:hint="eastAsia" w:ascii="仿宋_GB2312" w:hAnsi="仿宋_GB2312" w:eastAsia="仿宋_GB2312" w:cs="仿宋_GB2312"/>
          <w:sz w:val="32"/>
          <w:szCs w:val="32"/>
          <w:lang w:val="en-US" w:eastAsia="zh-CN"/>
        </w:rPr>
        <w:t>茂名市人民政府</w:t>
      </w:r>
      <w:r>
        <w:rPr>
          <w:rFonts w:hint="eastAsia" w:ascii="仿宋_GB2312" w:hAnsi="仿宋_GB2312" w:eastAsia="仿宋_GB2312" w:cs="仿宋_GB2312"/>
          <w:sz w:val="32"/>
          <w:szCs w:val="32"/>
        </w:rPr>
        <w:t>于2017年12月</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日印发了《</w:t>
      </w:r>
      <w:r>
        <w:rPr>
          <w:rFonts w:hint="eastAsia" w:ascii="仿宋_GB2312" w:hAnsi="仿宋_GB2312" w:eastAsia="仿宋_GB2312" w:cs="仿宋_GB2312"/>
          <w:sz w:val="32"/>
          <w:szCs w:val="32"/>
          <w:lang w:val="en-US" w:eastAsia="zh-CN"/>
        </w:rPr>
        <w:t>茂名市人民政府关于调整城镇土地使用税适用税额的通告</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茂府规〔2017〕14号）</w:t>
      </w:r>
      <w:r>
        <w:rPr>
          <w:rFonts w:hint="eastAsia" w:ascii="仿宋_GB2312" w:hAnsi="仿宋_GB2312" w:eastAsia="仿宋_GB2312" w:cs="仿宋_GB2312"/>
          <w:sz w:val="32"/>
          <w:szCs w:val="32"/>
        </w:rPr>
        <w:t>，明确我市对城镇土地使用税适用税额采取逐年调整的方式，从2017年1月1日起至2019年12月31日分三年调整到位，实施标准自印发之日起实施。</w:t>
      </w:r>
    </w:p>
    <w:p>
      <w:pPr>
        <w:overflowPunct w:val="0"/>
        <w:spacing w:line="580" w:lineRule="exact"/>
        <w:ind w:firstLine="632" w:firstLineChars="200"/>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2022年9月22日，省财政厅、省税务局印发《关于延续实施城镇土地使用税税额标准的通知》（粤财规</w:t>
      </w:r>
      <w:r>
        <w:rPr>
          <w:rFonts w:hint="eastAsia" w:ascii="仿宋_GB2312" w:eastAsia="仿宋_GB2312"/>
          <w:spacing w:val="-2"/>
          <w:sz w:val="32"/>
          <w:szCs w:val="32"/>
        </w:rPr>
        <w:t>〔2022〕5号），明确</w:t>
      </w:r>
      <w:r>
        <w:rPr>
          <w:rFonts w:hint="eastAsia" w:ascii="仿宋_GB2312" w:hAnsi="仿宋_GB2312" w:eastAsia="仿宋_GB2312" w:cs="仿宋_GB2312"/>
          <w:spacing w:val="-2"/>
          <w:sz w:val="32"/>
          <w:szCs w:val="32"/>
        </w:rPr>
        <w:t>粤财规</w:t>
      </w:r>
      <w:r>
        <w:rPr>
          <w:rFonts w:hint="eastAsia" w:ascii="仿宋_GB2312" w:eastAsia="仿宋_GB2312"/>
          <w:spacing w:val="-2"/>
          <w:sz w:val="32"/>
          <w:szCs w:val="32"/>
        </w:rPr>
        <w:t>〔2017〕4号文规定的税额标准实施期限延长至2027年12月31日。根据粤财规〔2022〕5号文精神，结合2017年以来</w:t>
      </w:r>
      <w:r>
        <w:rPr>
          <w:rFonts w:hint="eastAsia" w:ascii="仿宋_GB2312" w:eastAsia="仿宋_GB2312"/>
          <w:spacing w:val="-2"/>
          <w:sz w:val="32"/>
          <w:szCs w:val="32"/>
          <w:lang w:val="en-US" w:eastAsia="zh-CN"/>
        </w:rPr>
        <w:t>茂名</w:t>
      </w:r>
      <w:r>
        <w:rPr>
          <w:rFonts w:hint="eastAsia" w:ascii="仿宋_GB2312" w:hAnsi="仿宋_GB2312" w:eastAsia="仿宋_GB2312" w:cs="仿宋_GB2312"/>
          <w:spacing w:val="-2"/>
          <w:sz w:val="32"/>
          <w:szCs w:val="32"/>
        </w:rPr>
        <w:t>城区及部分县（市、区）的城镇规划范围已发生变化，需要印发实施《</w:t>
      </w:r>
      <w:r>
        <w:rPr>
          <w:rFonts w:hint="eastAsia" w:ascii="仿宋_GB2312" w:hAnsi="仿宋_GB2312" w:eastAsia="仿宋_GB2312" w:cs="仿宋_GB2312"/>
          <w:spacing w:val="-2"/>
          <w:sz w:val="32"/>
          <w:szCs w:val="32"/>
          <w:lang w:val="en-US" w:eastAsia="zh-CN"/>
        </w:rPr>
        <w:t>茂名</w:t>
      </w:r>
      <w:r>
        <w:rPr>
          <w:rFonts w:hint="eastAsia" w:ascii="仿宋_GB2312" w:hAnsi="仿宋_GB2312" w:eastAsia="仿宋_GB2312" w:cs="仿宋_GB2312"/>
          <w:spacing w:val="-2"/>
          <w:sz w:val="32"/>
          <w:szCs w:val="32"/>
        </w:rPr>
        <w:t>市城镇土地使用税适用税额实施方案》，明确202</w:t>
      </w:r>
      <w:r>
        <w:rPr>
          <w:rFonts w:hint="eastAsia" w:ascii="仿宋_GB2312" w:hAnsi="仿宋_GB2312" w:eastAsia="仿宋_GB2312" w:cs="仿宋_GB2312"/>
          <w:spacing w:val="-2"/>
          <w:sz w:val="32"/>
          <w:szCs w:val="32"/>
          <w:lang w:val="en-US" w:eastAsia="zh-CN"/>
        </w:rPr>
        <w:t>4</w:t>
      </w:r>
      <w:r>
        <w:rPr>
          <w:rFonts w:hint="eastAsia" w:ascii="仿宋_GB2312" w:hAnsi="仿宋_GB2312" w:eastAsia="仿宋_GB2312" w:cs="仿宋_GB2312"/>
          <w:spacing w:val="-2"/>
          <w:sz w:val="32"/>
          <w:szCs w:val="32"/>
        </w:rPr>
        <w:t>年1月1日至2027年12月31日的本市行政区域土地分级征收城镇土地使用税适用税额。</w:t>
      </w:r>
    </w:p>
    <w:p>
      <w:pPr>
        <w:overflowPunct w:val="0"/>
        <w:spacing w:line="580" w:lineRule="exact"/>
        <w:ind w:firstLine="640" w:firstLineChars="200"/>
        <w:rPr>
          <w:rFonts w:ascii="Times New Roman" w:hAnsi="Times New Roman" w:eastAsia="黑体"/>
          <w:bCs/>
          <w:sz w:val="32"/>
          <w:szCs w:val="32"/>
        </w:rPr>
      </w:pPr>
      <w:r>
        <w:rPr>
          <w:rFonts w:ascii="Times New Roman" w:hAnsi="Times New Roman" w:eastAsia="黑体"/>
          <w:bCs/>
          <w:sz w:val="32"/>
          <w:szCs w:val="32"/>
        </w:rPr>
        <w:t>二、</w:t>
      </w:r>
      <w:r>
        <w:rPr>
          <w:rFonts w:hint="eastAsia" w:ascii="Times New Roman" w:hAnsi="Times New Roman" w:eastAsia="黑体"/>
          <w:bCs/>
          <w:sz w:val="32"/>
          <w:szCs w:val="32"/>
        </w:rPr>
        <w:t>法律法规政策依据</w:t>
      </w:r>
    </w:p>
    <w:p>
      <w:pPr>
        <w:overflowPunct w:val="0"/>
        <w:spacing w:line="580" w:lineRule="exact"/>
        <w:ind w:firstLine="640" w:firstLineChars="200"/>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茂名</w:t>
      </w:r>
      <w:r>
        <w:rPr>
          <w:rFonts w:hint="eastAsia" w:ascii="仿宋_GB2312" w:hAnsi="仿宋_GB2312" w:eastAsia="仿宋_GB2312" w:cs="仿宋_GB2312"/>
          <w:sz w:val="32"/>
          <w:szCs w:val="32"/>
        </w:rPr>
        <w:t>市城镇土地使用税适用税额实施方案（</w:t>
      </w:r>
      <w:r>
        <w:rPr>
          <w:rFonts w:hint="eastAsia" w:ascii="仿宋_GB2312" w:hAnsi="仿宋_GB2312" w:eastAsia="仿宋_GB2312" w:cs="仿宋_GB2312"/>
          <w:sz w:val="32"/>
          <w:szCs w:val="32"/>
          <w:lang w:val="en-US" w:eastAsia="zh-CN"/>
        </w:rPr>
        <w:t>征求意见稿</w:t>
      </w:r>
      <w:r>
        <w:rPr>
          <w:rFonts w:hint="eastAsia" w:ascii="仿宋_GB2312" w:hAnsi="仿宋_GB2312" w:eastAsia="仿宋_GB2312" w:cs="仿宋_GB2312"/>
          <w:sz w:val="32"/>
          <w:szCs w:val="32"/>
        </w:rPr>
        <w:t>）》主要依据以下文件起草：</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根据《中华人民共和国城镇土地使用税暂行条例》（国务院令第483号）第五条关于“市、县人民政府应当根据实际情况，将本地区土地划分为若干等级，在省、自治区、直辖市人民政府确定的税额幅度内，制定相应的适用税额标准，报省、自治区、直辖市人民政府批准执行”的规定。</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根据《广东省城镇土地使用税实施细则》第六条关于“ 市、县财政局和税务局根据土地坐落的市政建设状况、经济繁荣程度以及经济发展变化情况，将土地划分为若干等级，在本实施细则第五条规定的税额幅度内确定或适时调整各等级的适用税额标准，报市、县人民政府审核后，上报省人民政府批准执行”的规定。</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茂名市2023年印发了</w:t>
      </w:r>
      <w:r>
        <w:rPr>
          <w:rFonts w:hint="eastAsia" w:ascii="仿宋_GB2312" w:eastAsia="仿宋_GB2312"/>
          <w:sz w:val="32"/>
          <w:szCs w:val="32"/>
        </w:rPr>
        <w:t>《</w:t>
      </w:r>
      <w:r>
        <w:rPr>
          <w:rFonts w:hint="eastAsia" w:ascii="仿宋_GB2312" w:eastAsia="仿宋_GB2312"/>
          <w:sz w:val="32"/>
          <w:szCs w:val="32"/>
          <w:lang w:val="en-US" w:eastAsia="zh-CN"/>
        </w:rPr>
        <w:t>茂名市人民政府办公室关于公布茂名市城市规划区基准地价更新成果</w:t>
      </w:r>
      <w:r>
        <w:rPr>
          <w:rFonts w:hint="eastAsia" w:ascii="仿宋_GB2312" w:eastAsia="仿宋_GB2312"/>
          <w:sz w:val="32"/>
          <w:szCs w:val="32"/>
        </w:rPr>
        <w:t>》</w:t>
      </w:r>
      <w:r>
        <w:rPr>
          <w:rFonts w:hint="eastAsia" w:ascii="仿宋_GB2312" w:eastAsia="仿宋_GB2312"/>
          <w:sz w:val="32"/>
          <w:szCs w:val="32"/>
          <w:lang w:val="en-US" w:eastAsia="zh-CN"/>
        </w:rPr>
        <w:t>（茂府办</w:t>
      </w:r>
      <w:r>
        <w:rPr>
          <w:rFonts w:hint="eastAsia" w:ascii="仿宋" w:hAnsi="仿宋" w:eastAsia="仿宋" w:cs="仿宋"/>
          <w:sz w:val="32"/>
          <w:szCs w:val="32"/>
          <w:lang w:val="en-US" w:eastAsia="zh-CN"/>
        </w:rPr>
        <w:t>〔2023〕17号</w:t>
      </w:r>
      <w:r>
        <w:rPr>
          <w:rFonts w:hint="eastAsia" w:ascii="仿宋_GB2312" w:eastAsia="仿宋_GB2312"/>
          <w:sz w:val="32"/>
          <w:szCs w:val="32"/>
          <w:lang w:val="en-US" w:eastAsia="zh-CN"/>
        </w:rPr>
        <w:t>）及《关于公布茂名市区标定地价更新项目成果的函》（茂自然资函</w:t>
      </w:r>
      <w:r>
        <w:rPr>
          <w:rFonts w:hint="eastAsia" w:ascii="仿宋" w:hAnsi="仿宋" w:eastAsia="仿宋" w:cs="仿宋"/>
          <w:sz w:val="32"/>
          <w:szCs w:val="32"/>
          <w:lang w:val="en-US" w:eastAsia="zh-CN"/>
        </w:rPr>
        <w:t>〔2023〕645号</w:t>
      </w:r>
      <w:r>
        <w:rPr>
          <w:rFonts w:hint="eastAsia" w:ascii="仿宋_GB2312" w:eastAsia="仿宋_GB2312"/>
          <w:sz w:val="32"/>
          <w:szCs w:val="32"/>
          <w:lang w:val="en-US" w:eastAsia="zh-CN"/>
        </w:rPr>
        <w:t>）</w:t>
      </w:r>
    </w:p>
    <w:p>
      <w:pPr>
        <w:overflowPunct w:val="0"/>
        <w:spacing w:line="580" w:lineRule="exact"/>
        <w:ind w:firstLine="640" w:firstLineChars="200"/>
        <w:rPr>
          <w:rFonts w:ascii="Times New Roman" w:hAnsi="Times New Roman" w:eastAsia="黑体"/>
          <w:bCs/>
          <w:sz w:val="32"/>
          <w:szCs w:val="32"/>
        </w:rPr>
      </w:pPr>
      <w:r>
        <w:rPr>
          <w:rFonts w:hint="eastAsia" w:ascii="Times New Roman" w:hAnsi="Times New Roman" w:eastAsia="黑体"/>
          <w:bCs/>
          <w:sz w:val="32"/>
          <w:szCs w:val="32"/>
          <w:lang w:val="en-US" w:eastAsia="zh-CN"/>
        </w:rPr>
        <w:t>二</w:t>
      </w:r>
      <w:r>
        <w:rPr>
          <w:rFonts w:hint="eastAsia" w:ascii="Times New Roman" w:hAnsi="Times New Roman" w:eastAsia="黑体"/>
          <w:bCs/>
          <w:sz w:val="32"/>
          <w:szCs w:val="32"/>
        </w:rPr>
        <w:t>、</w:t>
      </w:r>
      <w:r>
        <w:rPr>
          <w:rFonts w:hint="eastAsia" w:ascii="Times New Roman" w:hAnsi="Times New Roman" w:eastAsia="黑体"/>
          <w:bCs/>
          <w:sz w:val="32"/>
          <w:szCs w:val="32"/>
          <w:lang w:val="en-US" w:eastAsia="zh-CN"/>
        </w:rPr>
        <w:t>起草</w:t>
      </w:r>
      <w:r>
        <w:rPr>
          <w:rFonts w:hint="eastAsia" w:ascii="Times New Roman" w:hAnsi="Times New Roman" w:eastAsia="黑体"/>
          <w:bCs/>
          <w:sz w:val="32"/>
          <w:szCs w:val="32"/>
        </w:rPr>
        <w:t>过程</w:t>
      </w:r>
    </w:p>
    <w:p>
      <w:pPr>
        <w:overflowPunct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粤财规</w:t>
      </w:r>
      <w:r>
        <w:rPr>
          <w:rFonts w:hint="eastAsia" w:ascii="仿宋_GB2312" w:eastAsia="仿宋_GB2312"/>
          <w:sz w:val="32"/>
          <w:szCs w:val="32"/>
        </w:rPr>
        <w:t>〔2022〕5号文印发后，</w:t>
      </w:r>
      <w:r>
        <w:rPr>
          <w:rFonts w:hint="eastAsia" w:ascii="仿宋_GB2312" w:hAnsi="仿宋_GB2312" w:eastAsia="仿宋_GB2312" w:cs="仿宋_GB2312"/>
          <w:sz w:val="32"/>
          <w:szCs w:val="32"/>
        </w:rPr>
        <w:t>市财政局联合市税务局着手开展《</w:t>
      </w:r>
      <w:r>
        <w:rPr>
          <w:rFonts w:hint="eastAsia" w:ascii="仿宋_GB2312" w:hAnsi="仿宋_GB2312" w:eastAsia="仿宋_GB2312" w:cs="仿宋_GB2312"/>
          <w:sz w:val="32"/>
          <w:szCs w:val="32"/>
          <w:lang w:val="en-US" w:eastAsia="zh-CN"/>
        </w:rPr>
        <w:t>茂名</w:t>
      </w:r>
      <w:r>
        <w:rPr>
          <w:rFonts w:hint="eastAsia" w:ascii="仿宋_GB2312" w:hAnsi="仿宋_GB2312" w:eastAsia="仿宋_GB2312" w:cs="仿宋_GB2312"/>
          <w:sz w:val="32"/>
          <w:szCs w:val="32"/>
        </w:rPr>
        <w:t>市城镇土地使用税适用税额实施方案（征求意见稿）》的起草工作。</w:t>
      </w:r>
    </w:p>
    <w:p>
      <w:pPr>
        <w:overflowPunct w:val="0"/>
        <w:spacing w:line="58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市财政局联合市税务局通过财税内部系统征求了各县（市、区）的意见，相关意见反馈如下：</w:t>
      </w:r>
    </w:p>
    <w:p>
      <w:pPr>
        <w:pStyle w:val="3"/>
        <w:numPr>
          <w:ilvl w:val="0"/>
          <w:numId w:val="1"/>
        </w:numPr>
        <w:ind w:left="800" w:leftChars="0" w:firstLine="0" w:firstLineChars="0"/>
        <w:jc w:val="both"/>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茂南区</w:t>
      </w:r>
      <w:bookmarkStart w:id="0" w:name="_GoBack"/>
      <w:bookmarkEnd w:id="0"/>
    </w:p>
    <w:p>
      <w:pPr>
        <w:pStyle w:val="3"/>
        <w:numPr>
          <w:ilvl w:val="0"/>
          <w:numId w:val="0"/>
        </w:num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1.建议调整高水路（即大圆六路与高水路交界路口以南，茂南大道与高水路交界路口以北，城区河东片扩展区域范围内）为一级土地（原为三级土地）。</w:t>
      </w:r>
    </w:p>
    <w:p>
      <w:pPr>
        <w:numPr>
          <w:ilvl w:val="0"/>
          <w:numId w:val="0"/>
        </w:num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2.建议新增大园一至七路为一级土地（原为二级或三级土地）。</w:t>
      </w:r>
    </w:p>
    <w:p>
      <w:pPr>
        <w:pStyle w:val="3"/>
        <w:numPr>
          <w:ilvl w:val="0"/>
          <w:numId w:val="0"/>
        </w:num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3.建议新增官山七路、油城十路、双山八路、双山九路为一级土地（原为三级土地）。</w:t>
      </w:r>
    </w:p>
    <w:p>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4.建议新增东粤北路、东粤中路为一级土地（原为三级土地）。</w:t>
      </w:r>
    </w:p>
    <w:p>
      <w:pPr>
        <w:pStyle w:val="3"/>
        <w:numPr>
          <w:ilvl w:val="0"/>
          <w:numId w:val="0"/>
        </w:numPr>
        <w:ind w:firstLine="640" w:firstLineChars="200"/>
        <w:jc w:val="both"/>
        <w:rPr>
          <w:rFonts w:hint="eastAsia" w:ascii="仿宋" w:hAnsi="仿宋" w:eastAsia="仿宋" w:cs="仿宋"/>
          <w:lang w:val="en-US" w:eastAsia="zh-CN"/>
        </w:rPr>
      </w:pPr>
      <w:r>
        <w:rPr>
          <w:rFonts w:hint="eastAsia" w:ascii="仿宋" w:hAnsi="仿宋" w:eastAsia="仿宋" w:cs="仿宋"/>
          <w:lang w:val="en-US" w:eastAsia="zh-CN"/>
        </w:rPr>
        <w:t>5.其他土地范围建议保留原土地等级</w:t>
      </w:r>
    </w:p>
    <w:p>
      <w:pPr>
        <w:numPr>
          <w:ilvl w:val="0"/>
          <w:numId w:val="1"/>
        </w:numPr>
        <w:ind w:left="800" w:leftChars="0" w:firstLine="0" w:firstLine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滨海新区及高新区</w:t>
      </w:r>
    </w:p>
    <w:p>
      <w:pPr>
        <w:pStyle w:val="3"/>
        <w:numPr>
          <w:ilvl w:val="0"/>
          <w:numId w:val="0"/>
        </w:numPr>
        <w:ind w:left="800" w:leftChars="0"/>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1.高新区（七迳镇）</w:t>
      </w:r>
    </w:p>
    <w:p>
      <w:pPr>
        <w:numPr>
          <w:ilvl w:val="0"/>
          <w:numId w:val="2"/>
        </w:numPr>
        <w:ind w:left="640" w:leftChars="0"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建议保留茂名石化工业区一区（含北片区、南片区）、</w:t>
      </w:r>
    </w:p>
    <w:p>
      <w:pPr>
        <w:numPr>
          <w:ilvl w:val="0"/>
          <w:numId w:val="0"/>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乙烯厂区为二级土地。</w:t>
      </w:r>
    </w:p>
    <w:p>
      <w:pPr>
        <w:pStyle w:val="3"/>
        <w:numPr>
          <w:ilvl w:val="0"/>
          <w:numId w:val="2"/>
        </w:numPr>
        <w:ind w:left="640" w:leftChars="0" w:firstLine="0" w:firstLineChars="0"/>
        <w:jc w:val="both"/>
        <w:rPr>
          <w:rFonts w:hint="eastAsia" w:ascii="仿宋" w:hAnsi="仿宋" w:eastAsia="仿宋" w:cs="仿宋"/>
          <w:lang w:val="en-US" w:eastAsia="zh-CN"/>
        </w:rPr>
      </w:pPr>
      <w:r>
        <w:rPr>
          <w:rFonts w:hint="eastAsia" w:ascii="仿宋" w:hAnsi="仿宋" w:eastAsia="仿宋" w:cs="仿宋"/>
          <w:lang w:val="en-US" w:eastAsia="zh-CN"/>
        </w:rPr>
        <w:t>建议新增市民片区（具体四至为茂名大道以东、市民</w:t>
      </w:r>
    </w:p>
    <w:p>
      <w:pPr>
        <w:pStyle w:val="3"/>
        <w:numPr>
          <w:ilvl w:val="0"/>
          <w:numId w:val="0"/>
        </w:numPr>
        <w:jc w:val="both"/>
        <w:rPr>
          <w:rFonts w:hint="eastAsia" w:ascii="仿宋" w:hAnsi="仿宋" w:eastAsia="仿宋" w:cs="仿宋"/>
          <w:lang w:val="en-US" w:eastAsia="zh-CN"/>
        </w:rPr>
      </w:pPr>
      <w:r>
        <w:rPr>
          <w:rFonts w:hint="eastAsia" w:ascii="仿宋" w:hAnsi="仿宋" w:eastAsia="仿宋" w:cs="仿宋"/>
          <w:lang w:val="en-US" w:eastAsia="zh-CN"/>
        </w:rPr>
        <w:t>大道以南、包茂大道以西、新G228线以北）以及电白工业园四区、那楼小区（即新G228线以南茂名大道沿线东、西两侧区域）为二级土地（原为四级土地）。</w:t>
      </w:r>
    </w:p>
    <w:p>
      <w:pPr>
        <w:rPr>
          <w:rFonts w:hint="default"/>
          <w:lang w:val="en-US" w:eastAsia="zh-CN"/>
        </w:rPr>
      </w:pPr>
      <w:r>
        <w:rPr>
          <w:rFonts w:hint="eastAsia" w:ascii="仿宋" w:hAnsi="仿宋" w:eastAsia="仿宋" w:cs="仿宋"/>
          <w:lang w:val="en-US" w:eastAsia="zh-CN"/>
        </w:rPr>
        <w:t xml:space="preserve">      </w:t>
      </w:r>
      <w:r>
        <w:rPr>
          <w:rFonts w:hint="eastAsia" w:ascii="仿宋" w:hAnsi="仿宋" w:eastAsia="仿宋" w:cs="仿宋"/>
          <w:kern w:val="0"/>
          <w:sz w:val="32"/>
          <w:szCs w:val="20"/>
          <w:lang w:val="en-US" w:eastAsia="zh-CN"/>
        </w:rPr>
        <w:t>（3）建议删除“原茂港区东第19、34小区”表述</w:t>
      </w:r>
    </w:p>
    <w:p>
      <w:pPr>
        <w:numPr>
          <w:ilvl w:val="0"/>
          <w:numId w:val="0"/>
        </w:numPr>
        <w:ind w:left="640" w:left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（4）建议保留七迳镇行政区域范围内除上述列举以外的应</w:t>
      </w:r>
    </w:p>
    <w:p>
      <w:pPr>
        <w:numPr>
          <w:ilvl w:val="0"/>
          <w:numId w:val="0"/>
        </w:numPr>
        <w:rPr>
          <w:rFonts w:hint="default"/>
          <w:lang w:val="en-US" w:eastAsia="zh-CN"/>
        </w:rPr>
      </w:pPr>
      <w:r>
        <w:rPr>
          <w:rFonts w:hint="eastAsia" w:ascii="仿宋" w:hAnsi="仿宋" w:eastAsia="仿宋" w:cs="仿宋"/>
          <w:sz w:val="32"/>
          <w:szCs w:val="32"/>
          <w:lang w:val="en-US" w:eastAsia="zh-CN"/>
        </w:rPr>
        <w:t>税土地为四级土地。</w:t>
      </w:r>
    </w:p>
    <w:p>
      <w:pPr>
        <w:pStyle w:val="3"/>
        <w:numPr>
          <w:ilvl w:val="0"/>
          <w:numId w:val="0"/>
        </w:numPr>
        <w:ind w:left="800" w:leftChars="0"/>
        <w:jc w:val="both"/>
        <w:rPr>
          <w:rFonts w:hint="eastAsia" w:ascii="仿宋" w:hAnsi="仿宋" w:eastAsia="仿宋" w:cs="仿宋"/>
          <w:b/>
          <w:bCs/>
          <w:lang w:val="en-US" w:eastAsia="zh-CN"/>
        </w:rPr>
      </w:pPr>
      <w:r>
        <w:rPr>
          <w:rFonts w:hint="eastAsia" w:ascii="仿宋" w:hAnsi="仿宋" w:eastAsia="仿宋" w:cs="仿宋"/>
          <w:b/>
          <w:bCs/>
          <w:lang w:val="en-US" w:eastAsia="zh-CN"/>
        </w:rPr>
        <w:t>2.滨海新区（电城镇、博贺镇）</w:t>
      </w:r>
    </w:p>
    <w:p>
      <w:pPr>
        <w:numPr>
          <w:ilvl w:val="0"/>
          <w:numId w:val="3"/>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建议把电城镇、博贺镇人民政府所在地的镇区范围，以及爵山下海三甲工业区、北山岭港区（建议名称变更为博贺新港区、吉达港区）调整为三级土地（原为四级土地）。</w:t>
      </w:r>
    </w:p>
    <w:p>
      <w:pPr>
        <w:pStyle w:val="3"/>
        <w:numPr>
          <w:ilvl w:val="0"/>
          <w:numId w:val="3"/>
        </w:numPr>
        <w:ind w:left="0" w:leftChars="0" w:firstLine="640" w:firstLineChars="200"/>
        <w:jc w:val="both"/>
        <w:rPr>
          <w:rFonts w:hint="eastAsia"/>
          <w:lang w:val="en-US" w:eastAsia="zh-CN"/>
        </w:rPr>
      </w:pPr>
      <w:r>
        <w:rPr>
          <w:rFonts w:hint="eastAsia" w:ascii="仿宋" w:hAnsi="仿宋" w:eastAsia="仿宋" w:cs="仿宋"/>
          <w:lang w:val="en-US" w:eastAsia="zh-CN"/>
        </w:rPr>
        <w:t>建议把电城镇（含爵山）、博贺镇（含龙山）行政区域范围内除镇人民政府所在地和上述列举以外应税土地调整为四级土地（原为五级土地）。</w:t>
      </w:r>
      <w:r>
        <w:rPr>
          <w:rFonts w:hint="eastAsia"/>
          <w:lang w:val="en-US" w:eastAsia="zh-CN"/>
        </w:rPr>
        <w:t xml:space="preserve"> </w:t>
      </w:r>
    </w:p>
    <w:p>
      <w:pPr>
        <w:pStyle w:val="3"/>
        <w:numPr>
          <w:ilvl w:val="0"/>
          <w:numId w:val="1"/>
        </w:numPr>
        <w:ind w:left="800" w:leftChars="0" w:firstLine="0" w:firstLineChars="0"/>
        <w:jc w:val="both"/>
        <w:rPr>
          <w:rFonts w:hint="eastAsia" w:ascii="楷体" w:hAnsi="楷体" w:eastAsia="楷体" w:cs="楷体"/>
          <w:lang w:val="en-US" w:eastAsia="zh-CN"/>
        </w:rPr>
      </w:pPr>
      <w:r>
        <w:rPr>
          <w:rFonts w:hint="eastAsia" w:ascii="楷体" w:hAnsi="楷体" w:eastAsia="楷体" w:cs="楷体"/>
          <w:lang w:val="en-US" w:eastAsia="zh-CN"/>
        </w:rPr>
        <w:t>电白区</w:t>
      </w:r>
    </w:p>
    <w:p>
      <w:pPr>
        <w:numPr>
          <w:ilvl w:val="0"/>
          <w:numId w:val="4"/>
        </w:numPr>
        <w:ind w:left="840" w:left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电白区城区、水东湾新城开发区：包括水东街道、电海</w:t>
      </w:r>
    </w:p>
    <w:p>
      <w:pPr>
        <w:numPr>
          <w:ilvl w:val="0"/>
          <w:numId w:val="0"/>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街道、陈村街道、南海街道、高地街道行政区域范围（函辖下行政村）统一调整为城市三级土地。</w:t>
      </w:r>
    </w:p>
    <w:p>
      <w:pPr>
        <w:pStyle w:val="3"/>
        <w:numPr>
          <w:ilvl w:val="0"/>
          <w:numId w:val="4"/>
        </w:numPr>
        <w:ind w:left="840" w:leftChars="0" w:firstLine="0" w:firstLineChars="0"/>
        <w:jc w:val="both"/>
        <w:rPr>
          <w:rFonts w:hint="eastAsia" w:ascii="仿宋" w:hAnsi="仿宋" w:eastAsia="仿宋" w:cs="仿宋"/>
          <w:lang w:val="en-US" w:eastAsia="zh-CN"/>
        </w:rPr>
      </w:pPr>
      <w:r>
        <w:rPr>
          <w:rFonts w:hint="eastAsia" w:ascii="仿宋" w:hAnsi="仿宋" w:eastAsia="仿宋" w:cs="仿宋"/>
          <w:lang w:val="en-US" w:eastAsia="zh-CN"/>
        </w:rPr>
        <w:t>电白区未改街道的建制镇：包括沙院镇、小良镇、麻岗</w:t>
      </w:r>
    </w:p>
    <w:p>
      <w:pPr>
        <w:pStyle w:val="3"/>
        <w:numPr>
          <w:ilvl w:val="0"/>
          <w:numId w:val="0"/>
        </w:numPr>
        <w:jc w:val="both"/>
        <w:rPr>
          <w:rFonts w:hint="eastAsia" w:ascii="仿宋" w:hAnsi="仿宋" w:eastAsia="仿宋" w:cs="仿宋"/>
          <w:lang w:val="en-US" w:eastAsia="zh-CN"/>
        </w:rPr>
      </w:pPr>
      <w:r>
        <w:rPr>
          <w:rFonts w:hint="eastAsia" w:ascii="仿宋" w:hAnsi="仿宋" w:eastAsia="仿宋" w:cs="仿宋"/>
          <w:lang w:val="en-US" w:eastAsia="zh-CN"/>
        </w:rPr>
        <w:t>镇、树仔镇、旦场镇、林头镇、观珠镇、霞洞镇、坡心镇、沙琅镇、黄岭镇、罗坑镇、那霍镇、马踏镇、岭门镇、望夫镇行政区域范围（含辖下行政村）调整为城市四级土地。</w:t>
      </w:r>
    </w:p>
    <w:p>
      <w:pPr>
        <w:numPr>
          <w:ilvl w:val="0"/>
          <w:numId w:val="4"/>
        </w:numPr>
        <w:ind w:left="840" w:leftChars="0"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电白区政府为招商引资、集约用地、促进产业发展而设</w:t>
      </w:r>
    </w:p>
    <w:p>
      <w:pPr>
        <w:numPr>
          <w:ilvl w:val="0"/>
          <w:numId w:val="0"/>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立的产业园、工业园、开发区等平台（根据市政规划实时调整）统一调整为城市五级土地。</w:t>
      </w:r>
    </w:p>
    <w:p>
      <w:pPr>
        <w:pStyle w:val="3"/>
        <w:numPr>
          <w:ilvl w:val="0"/>
          <w:numId w:val="0"/>
        </w:numPr>
        <w:ind w:left="740" w:leftChars="0"/>
        <w:jc w:val="both"/>
        <w:rPr>
          <w:rFonts w:hint="eastAsia" w:ascii="楷体" w:hAnsi="楷体" w:eastAsia="楷体" w:cs="楷体"/>
          <w:lang w:val="en-US" w:eastAsia="zh-CN"/>
        </w:rPr>
      </w:pPr>
      <w:r>
        <w:rPr>
          <w:rFonts w:hint="eastAsia" w:ascii="楷体" w:hAnsi="楷体" w:eastAsia="楷体" w:cs="楷体"/>
          <w:sz w:val="32"/>
          <w:szCs w:val="32"/>
          <w:lang w:val="en-US" w:eastAsia="zh-CN"/>
        </w:rPr>
        <w:t>（四）高州市城区调整思路</w:t>
      </w:r>
    </w:p>
    <w:p>
      <w:pPr>
        <w:numPr>
          <w:ilvl w:val="0"/>
          <w:numId w:val="0"/>
        </w:numPr>
        <w:ind w:firstLine="640" w:firstLineChars="20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新增环城路、沿江路、天子路、桂园路、潘州中路、潘州东路、高凉西路、高凉中路、高凉东路、站前路、东方大道（金榜路以北）、通川大道（回龙庵桥以南）、永青大道（站前路口以北）、茂名大道、冼太大道（高凉西路口以南）、谢观路为</w:t>
      </w:r>
      <w:r>
        <w:rPr>
          <w:rFonts w:hint="eastAsia" w:ascii="仿宋" w:hAnsi="仿宋" w:eastAsia="仿宋" w:cs="仿宋"/>
          <w:kern w:val="2"/>
          <w:sz w:val="32"/>
          <w:szCs w:val="32"/>
          <w:lang w:val="en-US" w:eastAsia="zh-CN"/>
        </w:rPr>
        <w:t>县（县级市）</w:t>
      </w:r>
      <w:r>
        <w:rPr>
          <w:rFonts w:hint="eastAsia" w:ascii="仿宋" w:hAnsi="仿宋" w:eastAsia="仿宋" w:cs="仿宋"/>
          <w:sz w:val="32"/>
          <w:szCs w:val="32"/>
          <w:lang w:val="en-US" w:eastAsia="zh-CN"/>
        </w:rPr>
        <w:t xml:space="preserve">三级土地。                                                                                                                                                                                                            </w:t>
      </w:r>
    </w:p>
    <w:p>
      <w:pPr>
        <w:pStyle w:val="3"/>
        <w:numPr>
          <w:ilvl w:val="0"/>
          <w:numId w:val="0"/>
        </w:numPr>
        <w:ind w:left="640" w:leftChars="0"/>
        <w:jc w:val="both"/>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2.建议除上述三级外的潘州街道、宝光街道、山美街道、石</w:t>
      </w:r>
    </w:p>
    <w:p>
      <w:pPr>
        <w:pStyle w:val="3"/>
        <w:numPr>
          <w:ilvl w:val="0"/>
          <w:numId w:val="0"/>
        </w:numPr>
        <w:jc w:val="both"/>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仔岭街道的辖区土地，金山街道（金山开发区内）的辖区土地，谢鸡、新垌、分界、石鼓、根子、曹江、沙田、镇江、南塘、石板、长坡、大井、潭头、东岸、泗水、荷花、大坡、平山、深镇、马贵、古丁、云潭、荷塘等镇的规划区的土地为县（县级市）四级土地。</w:t>
      </w:r>
    </w:p>
    <w:p>
      <w:pPr>
        <w:numPr>
          <w:ilvl w:val="0"/>
          <w:numId w:val="5"/>
        </w:numPr>
        <w:ind w:left="640" w:leftChars="0" w:firstLine="0" w:firstLineChars="0"/>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金山街道（金山开发区外）的土地，谢鸡、新垌、分界、</w:t>
      </w:r>
    </w:p>
    <w:p>
      <w:pPr>
        <w:numPr>
          <w:ilvl w:val="0"/>
          <w:numId w:val="0"/>
        </w:numPr>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石鼓、根子、曹江、沙田、镇江、南塘、石板、长坡、大井、潭头、东岸、泗水、荷花、大坡、平山、深镇、马贵、古丁、云潭、荷塘等镇的规划区外的应税土地为县（县级市）五级土地。</w:t>
      </w:r>
    </w:p>
    <w:p>
      <w:pPr>
        <w:numPr>
          <w:ilvl w:val="0"/>
          <w:numId w:val="0"/>
        </w:numPr>
        <w:ind w:left="740" w:leftChars="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（五）化州市城区调整思路</w:t>
      </w:r>
    </w:p>
    <w:p>
      <w:pPr>
        <w:pStyle w:val="3"/>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1.新增罗江北路（雄大御花苑红绿灯至罗江桥头）、北岸中路（北至北京西路，南至民主北路）、北岸路（北至北京西路，南至民安路）、北岸东路、民安路（西至化州市自然资源局门口，东至民主桥头）、鉴江西路（北京桥头至星河国际酒店）、北堤一路、东堤北路、东堤中路、站北三路、站前北路、北京西路、北京东一路、北京东二路、北京东三路、下郭大道（北至桔城西路，南至宝谷路路口）为</w:t>
      </w:r>
      <w:r>
        <w:rPr>
          <w:rFonts w:hint="eastAsia" w:ascii="仿宋" w:hAnsi="仿宋" w:eastAsia="仿宋" w:cs="仿宋"/>
          <w:kern w:val="2"/>
          <w:sz w:val="32"/>
          <w:szCs w:val="32"/>
          <w:lang w:val="en-US" w:eastAsia="zh-CN"/>
        </w:rPr>
        <w:t>县（县级市）</w:t>
      </w:r>
      <w:r>
        <w:rPr>
          <w:rFonts w:hint="eastAsia" w:ascii="仿宋" w:hAnsi="仿宋" w:eastAsia="仿宋" w:cs="仿宋"/>
          <w:sz w:val="32"/>
          <w:szCs w:val="32"/>
          <w:lang w:val="en-US" w:eastAsia="zh-CN"/>
        </w:rPr>
        <w:t>三级土地。调整市区的桔城路(207国道交汇处至孔庙门口)为</w:t>
      </w:r>
      <w:r>
        <w:rPr>
          <w:rFonts w:hint="eastAsia" w:ascii="仿宋" w:hAnsi="仿宋" w:eastAsia="仿宋" w:cs="仿宋"/>
          <w:kern w:val="2"/>
          <w:sz w:val="32"/>
          <w:szCs w:val="32"/>
          <w:lang w:val="en-US" w:eastAsia="zh-CN"/>
        </w:rPr>
        <w:t>县（县级市）</w:t>
      </w:r>
      <w:r>
        <w:rPr>
          <w:rFonts w:hint="eastAsia" w:ascii="仿宋" w:hAnsi="仿宋" w:eastAsia="仿宋" w:cs="仿宋"/>
          <w:sz w:val="32"/>
          <w:szCs w:val="32"/>
          <w:lang w:val="en-US" w:eastAsia="zh-CN"/>
        </w:rPr>
        <w:t>三级土地。</w:t>
      </w:r>
    </w:p>
    <w:p>
      <w:pPr>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2.四级、五级表述维持不变</w:t>
      </w:r>
    </w:p>
    <w:p>
      <w:pPr>
        <w:pStyle w:val="3"/>
        <w:numPr>
          <w:ilvl w:val="0"/>
          <w:numId w:val="0"/>
        </w:numPr>
        <w:ind w:left="800" w:leftChars="0"/>
        <w:jc w:val="both"/>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（六）信宜市城区调整思路</w:t>
      </w:r>
    </w:p>
    <w:p>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1.信宜市三级土地表述调整为：由玉湖西路-工业路-竹园路-梅岗大道-育才路-站前大道-207国道-粤桂路-团结五路-长运路-团结三路-曙光路-207国道-人民北路-玉湖西路围合而成的区域。</w:t>
      </w:r>
    </w:p>
    <w:p>
      <w:pPr>
        <w:numPr>
          <w:ilvl w:val="0"/>
          <w:numId w:val="6"/>
        </w:numPr>
        <w:ind w:left="640" w:leftChars="0"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四级、五级表述维持不变。</w:t>
      </w:r>
    </w:p>
    <w:p>
      <w:pPr>
        <w:overflowPunct w:val="0"/>
        <w:spacing w:line="580" w:lineRule="exact"/>
        <w:ind w:firstLine="640" w:firstLineChars="200"/>
        <w:rPr>
          <w:rFonts w:ascii="Times New Roman" w:hAnsi="Times New Roman" w:eastAsia="黑体" w:cs="Times New Roman"/>
          <w:bCs/>
          <w:sz w:val="32"/>
          <w:szCs w:val="32"/>
        </w:rPr>
      </w:pPr>
      <w:r>
        <w:rPr>
          <w:rFonts w:hint="eastAsia" w:ascii="Times New Roman" w:hAnsi="Times New Roman" w:eastAsia="黑体" w:cs="Times New Roman"/>
          <w:bCs/>
          <w:sz w:val="32"/>
          <w:szCs w:val="32"/>
          <w:lang w:val="en-US" w:eastAsia="zh-CN"/>
        </w:rPr>
        <w:t>三</w:t>
      </w:r>
      <w:r>
        <w:rPr>
          <w:rFonts w:hint="eastAsia" w:ascii="Times New Roman" w:hAnsi="Times New Roman" w:eastAsia="黑体" w:cs="Times New Roman"/>
          <w:bCs/>
          <w:sz w:val="32"/>
          <w:szCs w:val="32"/>
        </w:rPr>
        <w:t>、</w:t>
      </w:r>
      <w:r>
        <w:rPr>
          <w:rFonts w:ascii="Times New Roman" w:hAnsi="Times New Roman" w:eastAsia="黑体" w:cs="Times New Roman"/>
          <w:bCs/>
          <w:sz w:val="32"/>
          <w:szCs w:val="32"/>
        </w:rPr>
        <w:t>主要内容</w:t>
      </w:r>
    </w:p>
    <w:p>
      <w:pPr>
        <w:overflowPunct w:val="0"/>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茂名</w:t>
      </w:r>
      <w:r>
        <w:rPr>
          <w:rFonts w:hint="eastAsia" w:ascii="仿宋_GB2312" w:hAnsi="仿宋_GB2312" w:eastAsia="仿宋_GB2312" w:cs="仿宋_GB2312"/>
          <w:sz w:val="32"/>
          <w:szCs w:val="32"/>
        </w:rPr>
        <w:t>市城镇土地使用税适用税额实施方案（</w:t>
      </w:r>
      <w:r>
        <w:rPr>
          <w:rFonts w:hint="eastAsia" w:ascii="仿宋_GB2312" w:hAnsi="仿宋_GB2312" w:eastAsia="仿宋_GB2312" w:cs="仿宋_GB2312"/>
          <w:sz w:val="32"/>
          <w:szCs w:val="32"/>
          <w:lang w:val="en-US" w:eastAsia="zh-CN"/>
        </w:rPr>
        <w:t>征求意见稿</w:t>
      </w:r>
      <w:r>
        <w:rPr>
          <w:rFonts w:hint="eastAsia" w:ascii="仿宋_GB2312" w:hAnsi="仿宋_GB2312" w:eastAsia="仿宋_GB2312" w:cs="仿宋_GB2312"/>
          <w:sz w:val="32"/>
          <w:szCs w:val="32"/>
        </w:rPr>
        <w:t>）》主要包括两个部分的内容：</w:t>
      </w:r>
    </w:p>
    <w:p>
      <w:pPr>
        <w:overflowPunct w:val="0"/>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（一）文件主体。主要</w:t>
      </w:r>
      <w:r>
        <w:rPr>
          <w:rFonts w:hint="eastAsia" w:ascii="仿宋_GB2312" w:hAnsi="仿宋_GB2312" w:eastAsia="仿宋_GB2312" w:cs="仿宋_GB2312"/>
          <w:sz w:val="32"/>
          <w:szCs w:val="32"/>
        </w:rPr>
        <w:t>包括方案制定的文件依据、背景、城镇土地使用税税额标准、实施期限等内容。</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保持城镇土地使用税税额标准不变；</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重新确认辖区内工业用地和非工业用地的土地等级、用地范围；</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实施方案有效期为202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年1月1日至2027年12月31日。</w:t>
      </w:r>
    </w:p>
    <w:p>
      <w:pPr>
        <w:widowControl/>
        <w:overflowPunct w:val="0"/>
        <w:spacing w:line="580" w:lineRule="exact"/>
        <w:ind w:right="106" w:firstLine="640" w:firstLineChars="200"/>
        <w:rPr>
          <w:rFonts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（二）附件。详细</w:t>
      </w:r>
      <w:r>
        <w:rPr>
          <w:rFonts w:hint="eastAsia" w:ascii="仿宋_GB2312" w:hAnsi="仿宋_GB2312" w:eastAsia="仿宋_GB2312" w:cs="仿宋_GB2312"/>
          <w:sz w:val="32"/>
          <w:szCs w:val="32"/>
        </w:rPr>
        <w:t>列明了</w:t>
      </w:r>
      <w:r>
        <w:rPr>
          <w:rFonts w:hint="eastAsia" w:ascii="仿宋_GB2312" w:hAnsi="仿宋_GB2312" w:eastAsia="仿宋_GB2312" w:cs="仿宋_GB2312"/>
          <w:sz w:val="32"/>
          <w:szCs w:val="32"/>
          <w:lang w:val="en-US" w:eastAsia="zh-CN"/>
        </w:rPr>
        <w:t>茂名</w:t>
      </w:r>
      <w:r>
        <w:rPr>
          <w:rFonts w:hint="eastAsia" w:ascii="仿宋_GB2312" w:hAnsi="仿宋_GB2312" w:eastAsia="仿宋_GB2312" w:cs="仿宋_GB2312"/>
          <w:sz w:val="32"/>
          <w:szCs w:val="32"/>
        </w:rPr>
        <w:t>市各个区域范围内城镇土地等级、用地范围及对应的税额标准。</w:t>
      </w:r>
    </w:p>
    <w:sectPr>
      <w:footerReference r:id="rId3" w:type="default"/>
      <w:pgSz w:w="11906" w:h="16838"/>
      <w:pgMar w:top="1418" w:right="1474" w:bottom="141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  \* MERGEFORMAT </w:instrText>
                          </w:r>
                          <w:r>
                            <w:rPr>
                              <w:rFonts w:hint="eastAsia" w:ascii="黑体" w:hAnsi="黑体" w:eastAsia="黑体" w:cs="黑体"/>
                              <w:sz w:val="24"/>
                              <w:szCs w:val="24"/>
                            </w:rPr>
                            <w:fldChar w:fldCharType="separate"/>
                          </w:r>
                          <w:r>
                            <w:rPr>
                              <w:rFonts w:ascii="黑体" w:hAnsi="黑体" w:eastAsia="黑体" w:cs="黑体"/>
                              <w:sz w:val="24"/>
                              <w:szCs w:val="24"/>
                            </w:rPr>
                            <w:t>3</w:t>
                          </w:r>
                          <w:r>
                            <w:rPr>
                              <w:rFonts w:hint="eastAsia" w:ascii="黑体" w:hAnsi="黑体" w:eastAsia="黑体" w:cs="黑体"/>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4"/>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  \* MERGEFORMAT </w:instrText>
                    </w:r>
                    <w:r>
                      <w:rPr>
                        <w:rFonts w:hint="eastAsia" w:ascii="黑体" w:hAnsi="黑体" w:eastAsia="黑体" w:cs="黑体"/>
                        <w:sz w:val="24"/>
                        <w:szCs w:val="24"/>
                      </w:rPr>
                      <w:fldChar w:fldCharType="separate"/>
                    </w:r>
                    <w:r>
                      <w:rPr>
                        <w:rFonts w:ascii="黑体" w:hAnsi="黑体" w:eastAsia="黑体" w:cs="黑体"/>
                        <w:sz w:val="24"/>
                        <w:szCs w:val="24"/>
                      </w:rPr>
                      <w:t>3</w:t>
                    </w:r>
                    <w:r>
                      <w:rPr>
                        <w:rFonts w:hint="eastAsia" w:ascii="黑体" w:hAnsi="黑体" w:eastAsia="黑体" w:cs="黑体"/>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A01F088"/>
    <w:multiLevelType w:val="singleLevel"/>
    <w:tmpl w:val="BA01F088"/>
    <w:lvl w:ilvl="0" w:tentative="0">
      <w:start w:val="1"/>
      <w:numFmt w:val="chineseCounting"/>
      <w:suff w:val="nothing"/>
      <w:lvlText w:val="（%1）"/>
      <w:lvlJc w:val="left"/>
      <w:pPr>
        <w:ind w:left="800" w:leftChars="0" w:firstLine="0" w:firstLineChars="0"/>
      </w:pPr>
      <w:rPr>
        <w:rFonts w:hint="eastAsia"/>
      </w:rPr>
    </w:lvl>
  </w:abstractNum>
  <w:abstractNum w:abstractNumId="1">
    <w:nsid w:val="D1239ED7"/>
    <w:multiLevelType w:val="singleLevel"/>
    <w:tmpl w:val="D1239ED7"/>
    <w:lvl w:ilvl="0" w:tentative="0">
      <w:start w:val="3"/>
      <w:numFmt w:val="decimal"/>
      <w:lvlText w:val="%1."/>
      <w:lvlJc w:val="left"/>
      <w:pPr>
        <w:tabs>
          <w:tab w:val="left" w:pos="312"/>
        </w:tabs>
        <w:ind w:left="640" w:leftChars="0" w:firstLine="0" w:firstLineChars="0"/>
      </w:pPr>
    </w:lvl>
  </w:abstractNum>
  <w:abstractNum w:abstractNumId="2">
    <w:nsid w:val="DF5F7783"/>
    <w:multiLevelType w:val="singleLevel"/>
    <w:tmpl w:val="DF5F7783"/>
    <w:lvl w:ilvl="0" w:tentative="0">
      <w:start w:val="2"/>
      <w:numFmt w:val="decimal"/>
      <w:lvlText w:val="%1."/>
      <w:lvlJc w:val="left"/>
      <w:pPr>
        <w:tabs>
          <w:tab w:val="left" w:pos="312"/>
        </w:tabs>
        <w:ind w:left="640" w:leftChars="0" w:firstLine="0" w:firstLineChars="0"/>
      </w:pPr>
    </w:lvl>
  </w:abstractNum>
  <w:abstractNum w:abstractNumId="3">
    <w:nsid w:val="13D6B1C8"/>
    <w:multiLevelType w:val="singleLevel"/>
    <w:tmpl w:val="13D6B1C8"/>
    <w:lvl w:ilvl="0" w:tentative="0">
      <w:start w:val="1"/>
      <w:numFmt w:val="decimal"/>
      <w:lvlText w:val="%1."/>
      <w:lvlJc w:val="left"/>
      <w:pPr>
        <w:tabs>
          <w:tab w:val="left" w:pos="312"/>
        </w:tabs>
      </w:pPr>
    </w:lvl>
  </w:abstractNum>
  <w:abstractNum w:abstractNumId="4">
    <w:nsid w:val="1DE1F407"/>
    <w:multiLevelType w:val="singleLevel"/>
    <w:tmpl w:val="1DE1F407"/>
    <w:lvl w:ilvl="0" w:tentative="0">
      <w:start w:val="1"/>
      <w:numFmt w:val="decimal"/>
      <w:suff w:val="nothing"/>
      <w:lvlText w:val="（%1）"/>
      <w:lvlJc w:val="left"/>
    </w:lvl>
  </w:abstractNum>
  <w:abstractNum w:abstractNumId="5">
    <w:nsid w:val="799EF3B3"/>
    <w:multiLevelType w:val="singleLevel"/>
    <w:tmpl w:val="799EF3B3"/>
    <w:lvl w:ilvl="0" w:tentative="0">
      <w:start w:val="1"/>
      <w:numFmt w:val="decimal"/>
      <w:suff w:val="nothing"/>
      <w:lvlText w:val="（%1）"/>
      <w:lvlJc w:val="left"/>
      <w:pPr>
        <w:ind w:left="640" w:leftChars="0" w:firstLine="0" w:firstLineChars="0"/>
      </w:pPr>
    </w:lvl>
  </w:abstractNum>
  <w:num w:numId="1">
    <w:abstractNumId w:val="0"/>
  </w:num>
  <w:num w:numId="2">
    <w:abstractNumId w:val="5"/>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kNGJkZWJhNDE1MjBkZTBhNmZhNTczNDBkNjRiOWYifQ=="/>
  </w:docVars>
  <w:rsids>
    <w:rsidRoot w:val="00172A27"/>
    <w:rsid w:val="000938D7"/>
    <w:rsid w:val="00171863"/>
    <w:rsid w:val="00172A27"/>
    <w:rsid w:val="00192448"/>
    <w:rsid w:val="001E503A"/>
    <w:rsid w:val="003D5A91"/>
    <w:rsid w:val="003F25FE"/>
    <w:rsid w:val="00460FB0"/>
    <w:rsid w:val="004F1717"/>
    <w:rsid w:val="00546950"/>
    <w:rsid w:val="005F4175"/>
    <w:rsid w:val="00724334"/>
    <w:rsid w:val="00816AAE"/>
    <w:rsid w:val="00A0275F"/>
    <w:rsid w:val="00C320D3"/>
    <w:rsid w:val="00D349DC"/>
    <w:rsid w:val="00E239E1"/>
    <w:rsid w:val="00EA1EFC"/>
    <w:rsid w:val="00F1552B"/>
    <w:rsid w:val="00F748DE"/>
    <w:rsid w:val="07976F45"/>
    <w:rsid w:val="0DB156E7"/>
    <w:rsid w:val="0E7F1696"/>
    <w:rsid w:val="0EDF4EF2"/>
    <w:rsid w:val="198430D7"/>
    <w:rsid w:val="1A741052"/>
    <w:rsid w:val="1C8200D3"/>
    <w:rsid w:val="1D0F6DF0"/>
    <w:rsid w:val="1DB9021E"/>
    <w:rsid w:val="1E920C14"/>
    <w:rsid w:val="1EAF5BD4"/>
    <w:rsid w:val="1FC12B97"/>
    <w:rsid w:val="20453F26"/>
    <w:rsid w:val="210D5959"/>
    <w:rsid w:val="243D6E56"/>
    <w:rsid w:val="25270530"/>
    <w:rsid w:val="26CE5619"/>
    <w:rsid w:val="2D2248B7"/>
    <w:rsid w:val="2E3D2A8D"/>
    <w:rsid w:val="318D0CAD"/>
    <w:rsid w:val="32400995"/>
    <w:rsid w:val="335942F1"/>
    <w:rsid w:val="3759E1E4"/>
    <w:rsid w:val="37EB55F0"/>
    <w:rsid w:val="3DFFC06E"/>
    <w:rsid w:val="3F4D3225"/>
    <w:rsid w:val="40A75DAF"/>
    <w:rsid w:val="426257A4"/>
    <w:rsid w:val="43E72C64"/>
    <w:rsid w:val="454A25FD"/>
    <w:rsid w:val="46D31D62"/>
    <w:rsid w:val="47275C58"/>
    <w:rsid w:val="492D5F24"/>
    <w:rsid w:val="4AEB6E80"/>
    <w:rsid w:val="4BCB6F26"/>
    <w:rsid w:val="4DEF227F"/>
    <w:rsid w:val="4F184A20"/>
    <w:rsid w:val="5014323F"/>
    <w:rsid w:val="51DC6B62"/>
    <w:rsid w:val="559E7FBA"/>
    <w:rsid w:val="5DE61A15"/>
    <w:rsid w:val="61F70313"/>
    <w:rsid w:val="638E2E10"/>
    <w:rsid w:val="64C93F50"/>
    <w:rsid w:val="65C52BA1"/>
    <w:rsid w:val="6AA44733"/>
    <w:rsid w:val="6AC02A28"/>
    <w:rsid w:val="6D587EF2"/>
    <w:rsid w:val="6ECE10DC"/>
    <w:rsid w:val="6F572557"/>
    <w:rsid w:val="70D5053A"/>
    <w:rsid w:val="72FDA3C4"/>
    <w:rsid w:val="73F71862"/>
    <w:rsid w:val="74206E26"/>
    <w:rsid w:val="75FD04FB"/>
    <w:rsid w:val="77BD5FFC"/>
    <w:rsid w:val="7A520AF4"/>
    <w:rsid w:val="7AFF5B13"/>
    <w:rsid w:val="7C7F9CF5"/>
    <w:rsid w:val="7CDA6E7A"/>
    <w:rsid w:val="7D6921BB"/>
    <w:rsid w:val="7DEFF34B"/>
    <w:rsid w:val="7FFB01D8"/>
    <w:rsid w:val="7FFC2EA6"/>
    <w:rsid w:val="9FFB3FBD"/>
    <w:rsid w:val="AFE7E50E"/>
    <w:rsid w:val="BFFF01FA"/>
    <w:rsid w:val="D7BB1E09"/>
    <w:rsid w:val="DDEB92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autoSpaceDE w:val="0"/>
      <w:autoSpaceDN w:val="0"/>
      <w:adjustRightInd w:val="0"/>
      <w:jc w:val="center"/>
      <w:outlineLvl w:val="0"/>
    </w:pPr>
    <w:rPr>
      <w:rFonts w:ascii="Times New Roman" w:hAnsi="Times New Roman" w:eastAsia="宋体"/>
      <w:kern w:val="0"/>
      <w:sz w:val="32"/>
      <w:szCs w:val="20"/>
    </w:rPr>
  </w:style>
  <w:style w:type="paragraph" w:styleId="2">
    <w:name w:val="heading 2"/>
    <w:basedOn w:val="1"/>
    <w:next w:val="1"/>
    <w:qFormat/>
    <w:uiPriority w:val="9"/>
    <w:pPr>
      <w:widowControl/>
      <w:jc w:val="left"/>
      <w:outlineLvl w:val="1"/>
    </w:pPr>
    <w:rPr>
      <w:rFonts w:ascii="宋体" w:hAnsi="宋体" w:cs="宋体"/>
      <w:b/>
      <w:bCs/>
      <w:kern w:val="0"/>
      <w:szCs w:val="36"/>
    </w:rPr>
  </w:style>
  <w:style w:type="character" w:default="1" w:styleId="7">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character" w:customStyle="1" w:styleId="9">
    <w:name w:val="页眉 Char"/>
    <w:basedOn w:val="7"/>
    <w:link w:val="5"/>
    <w:qFormat/>
    <w:uiPriority w:val="0"/>
    <w:rPr>
      <w:kern w:val="2"/>
      <w:sz w:val="18"/>
      <w:szCs w:val="18"/>
    </w:rPr>
  </w:style>
  <w:style w:type="character" w:customStyle="1" w:styleId="10">
    <w:name w:val="页脚 Char"/>
    <w:basedOn w:val="7"/>
    <w:link w:val="4"/>
    <w:qFormat/>
    <w:uiPriority w:val="0"/>
    <w:rPr>
      <w:kern w:val="2"/>
      <w:sz w:val="18"/>
      <w:szCs w:val="18"/>
    </w:rPr>
  </w:style>
  <w:style w:type="paragraph" w:customStyle="1" w:styleId="11">
    <w:name w:val="正文 New"/>
    <w:qFormat/>
    <w:uiPriority w:val="0"/>
    <w:pPr>
      <w:widowControl w:val="0"/>
      <w:jc w:val="both"/>
    </w:pPr>
    <w:rPr>
      <w:rFonts w:hint="eastAsia"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5</Pages>
  <Words>2271</Words>
  <Characters>2387</Characters>
  <Lines>18</Lines>
  <Paragraphs>5</Paragraphs>
  <TotalTime>4</TotalTime>
  <ScaleCrop>false</ScaleCrop>
  <LinksUpToDate>false</LinksUpToDate>
  <CharactersWithSpaces>2391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2022-12-02T17:49:00Z</dcterms:created>
  <dc:creator>Administrator</dc:creator>
  <cp:lastModifiedBy>HP</cp:lastModifiedBy>
  <cp:lastPrinted>2023-06-19T04:12:00Z</cp:lastPrinted>
  <dcterms:modified xsi:type="dcterms:W3CDTF">2023-09-01T08:17:41Z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5BA45ED5CC0B45558257151EA92ACBEC</vt:lpwstr>
  </property>
</Properties>
</file>