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953CBF">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left"/>
        <w:textAlignment w:val="auto"/>
        <w:outlineLvl w:val="9"/>
        <w:rPr>
          <w:rFonts w:hint="default" w:ascii="仿宋_GB2312" w:hAnsi="仿宋_GB2312" w:eastAsia="仿宋_GB2312" w:cs="仿宋_GB2312"/>
          <w:sz w:val="32"/>
          <w:szCs w:val="32"/>
          <w:lang w:eastAsia="zh-CN"/>
        </w:rPr>
      </w:pPr>
      <w:bookmarkStart w:id="0" w:name="_GoBack"/>
      <w:bookmarkEnd w:id="0"/>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2</w:t>
      </w:r>
    </w:p>
    <w:p w14:paraId="17D75F77">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茂名市创新“农产品数智化物权信用普惠金融模式”（</w:t>
      </w:r>
      <w:r>
        <w:rPr>
          <w:rFonts w:hint="eastAsia" w:ascii="方正小标宋简体" w:hAnsi="方正小标宋简体" w:eastAsia="方正小标宋简体" w:cs="方正小标宋简体"/>
          <w:sz w:val="44"/>
          <w:szCs w:val="44"/>
          <w:lang w:val="en-US" w:eastAsia="zh-CN"/>
        </w:rPr>
        <w:t>保险部分</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val="en-US" w:eastAsia="zh-CN"/>
        </w:rPr>
        <w:t>实施方案</w:t>
      </w:r>
    </w:p>
    <w:p w14:paraId="5C002CED">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（征求意见稿）</w:t>
      </w:r>
    </w:p>
    <w:p w14:paraId="50A7CB0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highlight w:val="none"/>
          <w:u w:val="none"/>
        </w:rPr>
      </w:pPr>
    </w:p>
    <w:p w14:paraId="7CD3052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rPr>
        <w:t>为</w:t>
      </w:r>
      <w:r>
        <w:rPr>
          <w:rFonts w:hint="eastAsia" w:ascii="仿宋_GB2312" w:hAnsi="仿宋_GB2312" w:eastAsia="仿宋_GB2312" w:cs="仿宋_GB2312"/>
          <w:sz w:val="32"/>
          <w:szCs w:val="32"/>
          <w:highlight w:val="none"/>
          <w:u w:val="none"/>
          <w:lang w:eastAsia="zh-CN"/>
        </w:rPr>
        <w:t>有效推进</w:t>
      </w:r>
      <w:r>
        <w:rPr>
          <w:rFonts w:hint="eastAsia" w:ascii="仿宋_GB2312" w:hAnsi="仿宋_GB2312" w:eastAsia="仿宋_GB2312" w:cs="仿宋_GB2312"/>
          <w:sz w:val="32"/>
          <w:szCs w:val="32"/>
          <w:highlight w:val="none"/>
          <w:u w:val="none"/>
        </w:rPr>
        <w:t>茂名市农产品数智化物权信用普惠金融</w:t>
      </w:r>
      <w:r>
        <w:rPr>
          <w:rFonts w:hint="eastAsia" w:ascii="仿宋_GB2312" w:hAnsi="仿宋_GB2312" w:eastAsia="仿宋_GB2312" w:cs="仿宋_GB2312"/>
          <w:sz w:val="32"/>
          <w:szCs w:val="32"/>
          <w:highlight w:val="none"/>
          <w:u w:val="none"/>
          <w:lang w:val="en-US" w:eastAsia="zh-CN"/>
        </w:rPr>
        <w:t>模式</w:t>
      </w:r>
      <w:r>
        <w:rPr>
          <w:rFonts w:hint="eastAsia" w:ascii="仿宋_GB2312" w:hAnsi="仿宋_GB2312" w:eastAsia="仿宋_GB2312" w:cs="仿宋_GB2312"/>
          <w:sz w:val="32"/>
          <w:szCs w:val="32"/>
          <w:highlight w:val="none"/>
          <w:u w:val="none"/>
          <w:lang w:eastAsia="zh-CN"/>
        </w:rPr>
        <w:t>（</w:t>
      </w:r>
      <w:r>
        <w:rPr>
          <w:rFonts w:hint="eastAsia" w:ascii="仿宋_GB2312" w:hAnsi="仿宋_GB2312" w:eastAsia="仿宋_GB2312" w:cs="仿宋_GB2312"/>
          <w:sz w:val="32"/>
          <w:szCs w:val="32"/>
          <w:highlight w:val="none"/>
          <w:u w:val="none"/>
          <w:lang w:val="en-US" w:eastAsia="zh-CN"/>
        </w:rPr>
        <w:t>后简称“模式”</w:t>
      </w:r>
      <w:r>
        <w:rPr>
          <w:rFonts w:hint="eastAsia" w:ascii="仿宋_GB2312" w:hAnsi="仿宋_GB2312" w:eastAsia="仿宋_GB2312" w:cs="仿宋_GB2312"/>
          <w:sz w:val="32"/>
          <w:szCs w:val="32"/>
          <w:highlight w:val="none"/>
          <w:u w:val="none"/>
          <w:lang w:eastAsia="zh-CN"/>
        </w:rPr>
        <w:t>）的实施</w:t>
      </w:r>
      <w:r>
        <w:rPr>
          <w:rFonts w:hint="eastAsia" w:ascii="仿宋_GB2312" w:hAnsi="仿宋_GB2312" w:eastAsia="仿宋_GB2312" w:cs="仿宋_GB2312"/>
          <w:sz w:val="32"/>
          <w:szCs w:val="32"/>
          <w:highlight w:val="none"/>
          <w:u w:val="none"/>
        </w:rPr>
        <w:t>，落实统一系统、统一制度、统一监管（以下简称“三统一”）管理要求，规范各参与主体行为，保障普惠金融业务规范有序开展，提高奖补资金使用效益，切实缓解</w:t>
      </w:r>
      <w:r>
        <w:rPr>
          <w:rFonts w:hint="eastAsia" w:ascii="仿宋_GB2312" w:hAnsi="仿宋_GB2312" w:eastAsia="仿宋_GB2312" w:cs="仿宋_GB2312"/>
          <w:sz w:val="32"/>
          <w:szCs w:val="32"/>
          <w:highlight w:val="none"/>
          <w:u w:val="none"/>
          <w:lang w:eastAsia="zh-CN"/>
        </w:rPr>
        <w:t>农业</w:t>
      </w:r>
      <w:r>
        <w:rPr>
          <w:rFonts w:hint="eastAsia" w:ascii="仿宋_GB2312" w:hAnsi="仿宋_GB2312" w:eastAsia="仿宋_GB2312" w:cs="仿宋_GB2312"/>
          <w:sz w:val="32"/>
          <w:szCs w:val="32"/>
          <w:highlight w:val="none"/>
          <w:u w:val="none"/>
        </w:rPr>
        <w:t>生产经营主体融资难、融资贵、融资慢问题</w:t>
      </w:r>
      <w:r>
        <w:rPr>
          <w:rFonts w:hint="eastAsia" w:ascii="仿宋_GB2312" w:hAnsi="仿宋_GB2312" w:eastAsia="仿宋_GB2312" w:cs="仿宋_GB2312"/>
          <w:sz w:val="32"/>
          <w:szCs w:val="32"/>
          <w:highlight w:val="none"/>
          <w:u w:val="none"/>
          <w:lang w:eastAsia="zh-CN"/>
        </w:rPr>
        <w:t>，</w:t>
      </w:r>
      <w:r>
        <w:rPr>
          <w:rFonts w:hint="eastAsia" w:ascii="仿宋_GB2312" w:hAnsi="仿宋_GB2312" w:eastAsia="仿宋_GB2312" w:cs="仿宋_GB2312"/>
          <w:sz w:val="32"/>
          <w:szCs w:val="32"/>
          <w:highlight w:val="none"/>
          <w:u w:val="none"/>
          <w:lang w:val="en-US" w:eastAsia="zh-CN"/>
        </w:rPr>
        <w:t>结合模式中保险部分服务需求，制定本实施方案。</w:t>
      </w:r>
    </w:p>
    <w:p w14:paraId="7B34A262">
      <w:pPr>
        <w:keepNext w:val="0"/>
        <w:keepLines w:val="0"/>
        <w:pageBreakBefore w:val="0"/>
        <w:widowControl w:val="0"/>
        <w:kinsoku/>
        <w:wordWrap/>
        <w:overflowPunct/>
        <w:topLinePunct w:val="0"/>
        <w:autoSpaceDE/>
        <w:autoSpaceDN/>
        <w:bidi w:val="0"/>
        <w:adjustRightInd/>
        <w:snapToGrid/>
        <w:spacing w:line="560" w:lineRule="exact"/>
        <w:textAlignment w:val="auto"/>
        <w:outlineLvl w:val="0"/>
        <w:rPr>
          <w:rFonts w:ascii="黑体" w:hAnsi="黑体" w:eastAsia="黑体" w:cs="黑体"/>
          <w:b w:val="0"/>
          <w:bCs w:val="0"/>
          <w:spacing w:val="-5"/>
          <w:sz w:val="32"/>
          <w:szCs w:val="32"/>
        </w:rPr>
      </w:pPr>
      <w:r>
        <w:rPr>
          <w:rFonts w:ascii="黑体" w:hAnsi="黑体" w:eastAsia="黑体" w:cs="黑体"/>
          <w:b w:val="0"/>
          <w:bCs w:val="0"/>
          <w:spacing w:val="-5"/>
          <w:sz w:val="32"/>
          <w:szCs w:val="32"/>
        </w:rPr>
        <w:t>一、指导思想</w:t>
      </w:r>
    </w:p>
    <w:p w14:paraId="5BA8DD9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pacing w:val="-1"/>
        </w:rPr>
        <w:t>以习近平新时代中国特色社会主义思想为指</w:t>
      </w:r>
      <w:r>
        <w:rPr>
          <w:rFonts w:hint="eastAsia" w:ascii="仿宋_GB2312" w:hAnsi="仿宋_GB2312" w:eastAsia="仿宋_GB2312" w:cs="仿宋_GB2312"/>
          <w:spacing w:val="-2"/>
        </w:rPr>
        <w:t>导，全面贯</w:t>
      </w:r>
      <w:r>
        <w:rPr>
          <w:rFonts w:hint="eastAsia" w:ascii="仿宋_GB2312" w:hAnsi="仿宋_GB2312" w:eastAsia="仿宋_GB2312" w:cs="仿宋_GB2312"/>
          <w:spacing w:val="-1"/>
        </w:rPr>
        <w:t>彻党的二十大</w:t>
      </w:r>
      <w:r>
        <w:rPr>
          <w:rFonts w:hint="eastAsia" w:ascii="仿宋_GB2312" w:hAnsi="仿宋_GB2312" w:eastAsia="仿宋_GB2312" w:cs="仿宋_GB2312"/>
          <w:spacing w:val="-1"/>
          <w:lang w:eastAsia="zh-CN"/>
        </w:rPr>
        <w:t>和</w:t>
      </w:r>
      <w:r>
        <w:rPr>
          <w:rFonts w:hint="eastAsia" w:ascii="仿宋_GB2312" w:hAnsi="仿宋_GB2312" w:eastAsia="仿宋_GB2312" w:cs="仿宋_GB2312"/>
          <w:spacing w:val="-1"/>
        </w:rPr>
        <w:t>习近平总书记对广东的重要讲话和重要指示批示精神，，</w:t>
      </w:r>
      <w:r>
        <w:rPr>
          <w:rFonts w:hint="eastAsia" w:ascii="仿宋_GB2312" w:hAnsi="仿宋_GB2312" w:eastAsia="仿宋_GB2312" w:cs="仿宋_GB2312"/>
          <w:spacing w:val="-1"/>
          <w:lang w:val="en-US" w:eastAsia="zh-CN"/>
        </w:rPr>
        <w:t>根据</w:t>
      </w:r>
      <w:r>
        <w:rPr>
          <w:rFonts w:hint="eastAsia" w:ascii="仿宋_GB2312" w:hAnsi="仿宋_GB2312" w:eastAsia="仿宋_GB2312" w:cs="仿宋_GB2312"/>
          <w:sz w:val="32"/>
          <w:szCs w:val="32"/>
          <w:highlight w:val="none"/>
          <w:u w:val="none"/>
        </w:rPr>
        <w:t>《普惠金融发展专项资金管理办法》（财金〔2023〕75号）</w:t>
      </w:r>
      <w:r>
        <w:rPr>
          <w:rFonts w:hint="eastAsia" w:ascii="仿宋_GB2312" w:hAnsi="仿宋_GB2312" w:eastAsia="仿宋_GB2312" w:cs="仿宋_GB2312"/>
          <w:sz w:val="32"/>
          <w:szCs w:val="32"/>
          <w:highlight w:val="none"/>
          <w:u w:val="none"/>
          <w:lang w:eastAsia="zh-CN"/>
        </w:rPr>
        <w:t>、</w:t>
      </w:r>
      <w:r>
        <w:rPr>
          <w:rFonts w:hint="eastAsia" w:ascii="仿宋_GB2312" w:hAnsi="仿宋_GB2312" w:eastAsia="仿宋_GB2312" w:cs="仿宋_GB2312"/>
          <w:sz w:val="32"/>
          <w:szCs w:val="32"/>
          <w:highlight w:val="none"/>
          <w:u w:val="none"/>
        </w:rPr>
        <w:t>《茂名市创新“农产品数智化物权信用普惠金融模式”实施方案》（茂财金〔2025〕15号）</w:t>
      </w:r>
      <w:r>
        <w:rPr>
          <w:rFonts w:hint="eastAsia" w:ascii="仿宋_GB2312" w:hAnsi="仿宋_GB2312" w:eastAsia="仿宋_GB2312" w:cs="仿宋_GB2312"/>
          <w:sz w:val="32"/>
          <w:szCs w:val="32"/>
          <w:highlight w:val="none"/>
          <w:u w:val="none"/>
          <w:lang w:eastAsia="zh-CN"/>
        </w:rPr>
        <w:t>，</w:t>
      </w:r>
      <w:r>
        <w:rPr>
          <w:rFonts w:hint="eastAsia" w:ascii="仿宋_GB2312" w:hAnsi="仿宋_GB2312" w:eastAsia="仿宋_GB2312" w:cs="仿宋_GB2312"/>
          <w:sz w:val="32"/>
          <w:szCs w:val="32"/>
          <w:highlight w:val="none"/>
          <w:u w:val="none"/>
          <w:lang w:val="en-US" w:eastAsia="zh-CN"/>
        </w:rPr>
        <w:t>建立契合</w:t>
      </w:r>
      <w:r>
        <w:rPr>
          <w:rFonts w:hint="eastAsia" w:ascii="仿宋_GB2312" w:hAnsi="仿宋_GB2312" w:eastAsia="仿宋_GB2312" w:cs="仿宋_GB2312"/>
          <w:sz w:val="32"/>
          <w:szCs w:val="32"/>
          <w:highlight w:val="none"/>
          <w:u w:val="none"/>
        </w:rPr>
        <w:t>茂名市农产品数智化物权信用普惠金融</w:t>
      </w:r>
      <w:r>
        <w:rPr>
          <w:rFonts w:hint="eastAsia" w:ascii="仿宋_GB2312" w:hAnsi="仿宋_GB2312" w:eastAsia="仿宋_GB2312" w:cs="仿宋_GB2312"/>
          <w:sz w:val="32"/>
          <w:szCs w:val="32"/>
          <w:highlight w:val="none"/>
          <w:u w:val="none"/>
          <w:lang w:eastAsia="zh-CN"/>
        </w:rPr>
        <w:t>模式</w:t>
      </w:r>
      <w:r>
        <w:rPr>
          <w:rFonts w:hint="eastAsia" w:ascii="仿宋_GB2312" w:hAnsi="仿宋_GB2312" w:eastAsia="仿宋_GB2312" w:cs="仿宋_GB2312"/>
          <w:sz w:val="32"/>
          <w:szCs w:val="32"/>
          <w:highlight w:val="none"/>
          <w:u w:val="none"/>
          <w:lang w:val="en-US" w:eastAsia="zh-CN"/>
        </w:rPr>
        <w:t>的保险服务模式。</w:t>
      </w:r>
    </w:p>
    <w:p w14:paraId="0CC9EF29">
      <w:pPr>
        <w:keepNext w:val="0"/>
        <w:keepLines w:val="0"/>
        <w:pageBreakBefore w:val="0"/>
        <w:widowControl w:val="0"/>
        <w:kinsoku/>
        <w:wordWrap/>
        <w:overflowPunct/>
        <w:topLinePunct w:val="0"/>
        <w:autoSpaceDE/>
        <w:autoSpaceDN/>
        <w:bidi w:val="0"/>
        <w:adjustRightInd/>
        <w:snapToGrid/>
        <w:spacing w:line="560" w:lineRule="exact"/>
        <w:textAlignment w:val="auto"/>
        <w:outlineLvl w:val="0"/>
        <w:rPr>
          <w:rFonts w:hint="default" w:ascii="黑体" w:hAnsi="黑体" w:eastAsia="黑体" w:cs="黑体"/>
          <w:b w:val="0"/>
          <w:bCs w:val="0"/>
          <w:spacing w:val="-5"/>
          <w:sz w:val="32"/>
          <w:szCs w:val="32"/>
          <w:lang w:val="en-US" w:eastAsia="zh-CN"/>
        </w:rPr>
      </w:pPr>
      <w:r>
        <w:rPr>
          <w:rFonts w:hint="eastAsia" w:ascii="黑体" w:hAnsi="黑体" w:eastAsia="黑体" w:cs="黑体"/>
          <w:b w:val="0"/>
          <w:bCs w:val="0"/>
          <w:spacing w:val="-5"/>
          <w:sz w:val="32"/>
          <w:szCs w:val="32"/>
          <w:lang w:val="en-US" w:eastAsia="zh-CN"/>
        </w:rPr>
        <w:t>二</w:t>
      </w:r>
      <w:r>
        <w:rPr>
          <w:rFonts w:ascii="黑体" w:hAnsi="黑体" w:eastAsia="黑体" w:cs="黑体"/>
          <w:b w:val="0"/>
          <w:bCs w:val="0"/>
          <w:spacing w:val="-5"/>
          <w:sz w:val="32"/>
          <w:szCs w:val="32"/>
        </w:rPr>
        <w:t>、</w:t>
      </w:r>
      <w:r>
        <w:rPr>
          <w:rFonts w:hint="eastAsia" w:ascii="黑体" w:hAnsi="黑体" w:eastAsia="黑体" w:cs="黑体"/>
          <w:b w:val="0"/>
          <w:bCs w:val="0"/>
          <w:spacing w:val="-5"/>
          <w:sz w:val="32"/>
          <w:szCs w:val="32"/>
          <w:lang w:val="en-US" w:eastAsia="zh-CN"/>
        </w:rPr>
        <w:t>基本原则</w:t>
      </w:r>
    </w:p>
    <w:p w14:paraId="3C28B28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highlight w:val="none"/>
          <w:u w:val="none"/>
          <w:lang w:val="en-US" w:eastAsia="zh-CN"/>
        </w:rPr>
      </w:pPr>
      <w:r>
        <w:rPr>
          <w:rFonts w:hint="eastAsia" w:ascii="楷体_GB2312" w:hAnsi="楷体_GB2312" w:eastAsia="楷体_GB2312" w:cs="楷体_GB2312"/>
          <w:sz w:val="32"/>
          <w:szCs w:val="32"/>
          <w:highlight w:val="none"/>
          <w:u w:val="none"/>
          <w:lang w:val="en-US" w:eastAsia="zh-CN"/>
        </w:rPr>
        <w:t>（一）政府引导。</w:t>
      </w:r>
      <w:r>
        <w:rPr>
          <w:rFonts w:hint="eastAsia" w:ascii="仿宋_GB2312" w:hAnsi="仿宋_GB2312" w:eastAsia="仿宋_GB2312" w:cs="仿宋_GB2312"/>
          <w:sz w:val="32"/>
          <w:szCs w:val="32"/>
          <w:highlight w:val="none"/>
          <w:u w:val="none"/>
          <w:lang w:val="en-US" w:eastAsia="zh-CN"/>
        </w:rPr>
        <w:t>市县两级政府相关部门加强对</w:t>
      </w:r>
      <w:r>
        <w:rPr>
          <w:rFonts w:hint="eastAsia" w:ascii="仿宋_GB2312" w:hAnsi="仿宋_GB2312" w:eastAsia="仿宋_GB2312" w:cs="仿宋_GB2312"/>
          <w:sz w:val="32"/>
          <w:szCs w:val="32"/>
          <w:highlight w:val="none"/>
          <w:u w:val="none"/>
        </w:rPr>
        <w:t>茂名市农产品数智化物权信用普惠金融</w:t>
      </w:r>
      <w:r>
        <w:rPr>
          <w:rFonts w:hint="eastAsia" w:ascii="仿宋_GB2312" w:hAnsi="仿宋_GB2312" w:eastAsia="仿宋_GB2312" w:cs="仿宋_GB2312"/>
          <w:sz w:val="32"/>
          <w:szCs w:val="32"/>
          <w:highlight w:val="none"/>
          <w:u w:val="none"/>
          <w:lang w:eastAsia="zh-CN"/>
        </w:rPr>
        <w:t>模式</w:t>
      </w:r>
      <w:r>
        <w:rPr>
          <w:rFonts w:hint="eastAsia" w:ascii="仿宋_GB2312" w:hAnsi="仿宋_GB2312" w:eastAsia="仿宋_GB2312" w:cs="仿宋_GB2312"/>
          <w:sz w:val="32"/>
          <w:szCs w:val="32"/>
          <w:highlight w:val="none"/>
          <w:u w:val="none"/>
          <w:lang w:val="en-US" w:eastAsia="zh-CN"/>
        </w:rPr>
        <w:t>的领导，积极宣传推广，引导符合模式进入条件的农业生产经营主体积极参保，做好各环节角色的工作协调衔接，落实财政配套补贴资金，加强承保、防灾、理赔监管服务，保护农业生产经营主体利益，保障</w:t>
      </w:r>
      <w:r>
        <w:rPr>
          <w:rFonts w:hint="eastAsia" w:ascii="仿宋_GB2312" w:hAnsi="仿宋_GB2312" w:eastAsia="仿宋_GB2312" w:cs="仿宋_GB2312"/>
          <w:sz w:val="32"/>
          <w:szCs w:val="32"/>
          <w:highlight w:val="none"/>
          <w:u w:val="none"/>
          <w:lang w:eastAsia="zh-CN"/>
        </w:rPr>
        <w:t>模式</w:t>
      </w:r>
      <w:r>
        <w:rPr>
          <w:rFonts w:hint="eastAsia" w:ascii="仿宋_GB2312" w:hAnsi="仿宋_GB2312" w:eastAsia="仿宋_GB2312" w:cs="仿宋_GB2312"/>
          <w:sz w:val="32"/>
          <w:szCs w:val="32"/>
          <w:highlight w:val="none"/>
          <w:u w:val="none"/>
          <w:lang w:val="en-US" w:eastAsia="zh-CN"/>
        </w:rPr>
        <w:t>的可持续运行。</w:t>
      </w:r>
    </w:p>
    <w:p w14:paraId="77A2789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highlight w:val="none"/>
          <w:u w:val="none"/>
          <w:lang w:val="en-US" w:eastAsia="zh-CN"/>
        </w:rPr>
      </w:pPr>
      <w:r>
        <w:rPr>
          <w:rFonts w:hint="eastAsia" w:ascii="楷体_GB2312" w:hAnsi="楷体_GB2312" w:eastAsia="楷体_GB2312" w:cs="楷体_GB2312"/>
          <w:sz w:val="32"/>
          <w:szCs w:val="32"/>
          <w:highlight w:val="none"/>
          <w:u w:val="none"/>
          <w:lang w:val="en-US" w:eastAsia="zh-CN"/>
        </w:rPr>
        <w:t>（二）市场运作。</w:t>
      </w:r>
      <w:r>
        <w:rPr>
          <w:rFonts w:hint="eastAsia" w:ascii="仿宋_GB2312" w:hAnsi="仿宋_GB2312" w:eastAsia="仿宋_GB2312" w:cs="仿宋_GB2312"/>
          <w:sz w:val="32"/>
          <w:szCs w:val="32"/>
          <w:highlight w:val="none"/>
          <w:u w:val="none"/>
          <w:lang w:val="en-US" w:eastAsia="zh-CN"/>
        </w:rPr>
        <w:t>充分发挥保险公司的机构、人才和风控方面优势，明确保险公司在承保理赔、防灾减损方面的责任，提升保险服务水平。</w:t>
      </w:r>
    </w:p>
    <w:p w14:paraId="113BCE75">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highlight w:val="none"/>
          <w:u w:val="none"/>
          <w:lang w:val="en-US" w:eastAsia="zh-CN"/>
        </w:rPr>
      </w:pPr>
      <w:r>
        <w:rPr>
          <w:rFonts w:hint="eastAsia" w:ascii="楷体_GB2312" w:hAnsi="楷体_GB2312" w:eastAsia="楷体_GB2312" w:cs="楷体_GB2312"/>
          <w:sz w:val="32"/>
          <w:szCs w:val="32"/>
          <w:highlight w:val="none"/>
          <w:u w:val="none"/>
          <w:lang w:val="en-US" w:eastAsia="zh-CN"/>
        </w:rPr>
        <w:t>（三）自愿参保。</w:t>
      </w:r>
      <w:r>
        <w:rPr>
          <w:rFonts w:hint="eastAsia" w:ascii="仿宋_GB2312" w:hAnsi="仿宋_GB2312" w:eastAsia="仿宋_GB2312" w:cs="仿宋_GB2312"/>
          <w:sz w:val="32"/>
          <w:szCs w:val="32"/>
          <w:highlight w:val="none"/>
          <w:u w:val="none"/>
          <w:lang w:val="en-US" w:eastAsia="zh-CN"/>
        </w:rPr>
        <w:t>通过组织宣传、保费补贴等方式调动农业生产经营主体的参保积极性，引导其自愿参保。</w:t>
      </w:r>
    </w:p>
    <w:p w14:paraId="2F8B4EE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highlight w:val="none"/>
          <w:u w:val="none"/>
          <w:lang w:val="en-US" w:eastAsia="zh-CN"/>
        </w:rPr>
      </w:pPr>
      <w:r>
        <w:rPr>
          <w:rFonts w:hint="eastAsia" w:ascii="楷体_GB2312" w:hAnsi="楷体_GB2312" w:eastAsia="楷体_GB2312" w:cs="楷体_GB2312"/>
          <w:sz w:val="32"/>
          <w:szCs w:val="32"/>
          <w:highlight w:val="none"/>
          <w:u w:val="none"/>
          <w:lang w:val="en-US" w:eastAsia="zh-CN"/>
        </w:rPr>
        <w:t>（四）协同推进。</w:t>
      </w:r>
      <w:r>
        <w:rPr>
          <w:rFonts w:hint="eastAsia" w:ascii="仿宋_GB2312" w:hAnsi="仿宋_GB2312" w:eastAsia="仿宋_GB2312" w:cs="仿宋_GB2312"/>
          <w:sz w:val="32"/>
          <w:szCs w:val="32"/>
          <w:highlight w:val="none"/>
          <w:u w:val="none"/>
          <w:lang w:val="en-US" w:eastAsia="zh-CN"/>
        </w:rPr>
        <w:t>强化财政金融协同效应，发挥财政资金撬动社会资本效能，</w:t>
      </w:r>
      <w:r>
        <w:rPr>
          <w:rFonts w:hint="eastAsia" w:ascii="仿宋_GB2312" w:hAnsi="仿宋_GB2312" w:eastAsia="仿宋_GB2312" w:cs="仿宋_GB2312"/>
          <w:sz w:val="32"/>
          <w:szCs w:val="32"/>
          <w:highlight w:val="none"/>
          <w:u w:val="none"/>
        </w:rPr>
        <w:t>切实解</w:t>
      </w:r>
      <w:r>
        <w:rPr>
          <w:rFonts w:hint="eastAsia" w:ascii="仿宋_GB2312" w:hAnsi="仿宋_GB2312" w:eastAsia="仿宋_GB2312" w:cs="仿宋_GB2312"/>
          <w:sz w:val="32"/>
          <w:szCs w:val="32"/>
          <w:highlight w:val="none"/>
          <w:u w:val="none"/>
          <w:lang w:eastAsia="zh-CN"/>
        </w:rPr>
        <w:t>决</w:t>
      </w:r>
      <w:r>
        <w:rPr>
          <w:rFonts w:hint="eastAsia" w:ascii="仿宋_GB2312" w:hAnsi="仿宋_GB2312" w:eastAsia="仿宋_GB2312" w:cs="仿宋_GB2312"/>
          <w:sz w:val="32"/>
          <w:szCs w:val="32"/>
          <w:highlight w:val="none"/>
          <w:u w:val="none"/>
        </w:rPr>
        <w:t>农</w:t>
      </w:r>
      <w:r>
        <w:rPr>
          <w:rFonts w:hint="eastAsia" w:ascii="仿宋_GB2312" w:hAnsi="仿宋_GB2312" w:eastAsia="仿宋_GB2312" w:cs="仿宋_GB2312"/>
          <w:sz w:val="32"/>
          <w:szCs w:val="32"/>
          <w:highlight w:val="none"/>
          <w:u w:val="none"/>
          <w:lang w:eastAsia="zh-CN"/>
        </w:rPr>
        <w:t>业</w:t>
      </w:r>
      <w:r>
        <w:rPr>
          <w:rFonts w:hint="eastAsia" w:ascii="仿宋_GB2312" w:hAnsi="仿宋_GB2312" w:eastAsia="仿宋_GB2312" w:cs="仿宋_GB2312"/>
          <w:sz w:val="32"/>
          <w:szCs w:val="32"/>
          <w:highlight w:val="none"/>
          <w:u w:val="none"/>
        </w:rPr>
        <w:t>生产经营主体融资难、融资贵、融资慢问题</w:t>
      </w:r>
      <w:r>
        <w:rPr>
          <w:rFonts w:hint="eastAsia" w:ascii="仿宋_GB2312" w:hAnsi="仿宋_GB2312" w:eastAsia="仿宋_GB2312" w:cs="仿宋_GB2312"/>
          <w:sz w:val="32"/>
          <w:szCs w:val="32"/>
          <w:highlight w:val="none"/>
          <w:u w:val="none"/>
          <w:lang w:val="en-US" w:eastAsia="zh-CN"/>
        </w:rPr>
        <w:t>。</w:t>
      </w:r>
    </w:p>
    <w:p w14:paraId="06153B06">
      <w:pPr>
        <w:keepNext w:val="0"/>
        <w:keepLines w:val="0"/>
        <w:pageBreakBefore w:val="0"/>
        <w:widowControl w:val="0"/>
        <w:kinsoku/>
        <w:wordWrap/>
        <w:overflowPunct/>
        <w:topLinePunct w:val="0"/>
        <w:autoSpaceDE/>
        <w:autoSpaceDN/>
        <w:bidi w:val="0"/>
        <w:adjustRightInd/>
        <w:snapToGrid/>
        <w:spacing w:line="560" w:lineRule="exact"/>
        <w:textAlignment w:val="auto"/>
        <w:outlineLvl w:val="0"/>
        <w:rPr>
          <w:rFonts w:hint="eastAsia" w:ascii="黑体" w:hAnsi="黑体" w:eastAsia="黑体" w:cs="黑体"/>
          <w:b w:val="0"/>
          <w:bCs w:val="0"/>
          <w:spacing w:val="-5"/>
          <w:sz w:val="32"/>
          <w:szCs w:val="32"/>
          <w:lang w:val="en-US" w:eastAsia="zh-CN"/>
        </w:rPr>
      </w:pPr>
      <w:r>
        <w:rPr>
          <w:rFonts w:hint="eastAsia" w:ascii="黑体" w:hAnsi="黑体" w:eastAsia="黑体" w:cs="黑体"/>
          <w:b w:val="0"/>
          <w:bCs w:val="0"/>
          <w:spacing w:val="-5"/>
          <w:sz w:val="32"/>
          <w:szCs w:val="32"/>
          <w:lang w:val="en-US" w:eastAsia="zh-CN"/>
        </w:rPr>
        <w:t>三、实施内容</w:t>
      </w:r>
    </w:p>
    <w:p w14:paraId="544D3E3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highlight w:val="none"/>
          <w:u w:val="none"/>
          <w:lang w:val="en-US" w:eastAsia="zh-CN"/>
        </w:rPr>
      </w:pPr>
      <w:r>
        <w:rPr>
          <w:rFonts w:hint="eastAsia" w:ascii="楷体_GB2312" w:hAnsi="楷体_GB2312" w:eastAsia="楷体_GB2312" w:cs="楷体_GB2312"/>
          <w:sz w:val="32"/>
          <w:szCs w:val="32"/>
          <w:highlight w:val="none"/>
          <w:u w:val="none"/>
          <w:lang w:val="en-US" w:eastAsia="zh-CN"/>
        </w:rPr>
        <w:t>（一）实施时间。</w:t>
      </w:r>
      <w:r>
        <w:rPr>
          <w:rFonts w:hint="eastAsia" w:ascii="仿宋_GB2312" w:hAnsi="仿宋_GB2312" w:eastAsia="仿宋_GB2312" w:cs="仿宋_GB2312"/>
          <w:sz w:val="32"/>
          <w:szCs w:val="32"/>
          <w:highlight w:val="none"/>
          <w:u w:val="none"/>
          <w:lang w:val="en-US" w:eastAsia="zh-CN"/>
        </w:rPr>
        <w:t>2026-2027年，共1年，到期后视模式运营情况进行顺延。</w:t>
      </w:r>
    </w:p>
    <w:p w14:paraId="60B3E99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highlight w:val="none"/>
          <w:u w:val="none"/>
          <w:lang w:val="en-US" w:eastAsia="zh-CN"/>
        </w:rPr>
      </w:pPr>
      <w:r>
        <w:rPr>
          <w:rFonts w:hint="eastAsia" w:ascii="楷体_GB2312" w:hAnsi="楷体_GB2312" w:eastAsia="楷体_GB2312" w:cs="楷体_GB2312"/>
          <w:sz w:val="32"/>
          <w:szCs w:val="32"/>
          <w:highlight w:val="none"/>
          <w:u w:val="none"/>
          <w:lang w:val="en-US" w:eastAsia="zh-CN"/>
        </w:rPr>
        <w:t>（二）总保费规模</w:t>
      </w:r>
      <w:r>
        <w:rPr>
          <w:rFonts w:hint="eastAsia" w:ascii="仿宋_GB2312" w:hAnsi="仿宋_GB2312" w:eastAsia="仿宋_GB2312" w:cs="仿宋_GB2312"/>
          <w:sz w:val="32"/>
          <w:szCs w:val="32"/>
          <w:highlight w:val="none"/>
          <w:u w:val="none"/>
          <w:lang w:val="en-US" w:eastAsia="zh-CN"/>
        </w:rPr>
        <w:t>。2187.50万元。</w:t>
      </w:r>
    </w:p>
    <w:p w14:paraId="54BC862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highlight w:val="none"/>
          <w:u w:val="none"/>
          <w:lang w:val="en-US" w:eastAsia="zh-CN"/>
        </w:rPr>
      </w:pPr>
      <w:r>
        <w:rPr>
          <w:rFonts w:hint="eastAsia" w:ascii="楷体_GB2312" w:hAnsi="楷体_GB2312" w:eastAsia="楷体_GB2312" w:cs="楷体_GB2312"/>
          <w:sz w:val="32"/>
          <w:szCs w:val="32"/>
          <w:highlight w:val="none"/>
          <w:u w:val="none"/>
          <w:lang w:val="en-US" w:eastAsia="zh-CN"/>
        </w:rPr>
        <w:t>（三）保费补贴范围。</w:t>
      </w:r>
      <w:r>
        <w:rPr>
          <w:rFonts w:hint="eastAsia" w:ascii="仿宋_GB2312" w:hAnsi="仿宋_GB2312" w:eastAsia="仿宋_GB2312" w:cs="仿宋_GB2312"/>
          <w:sz w:val="32"/>
          <w:szCs w:val="32"/>
          <w:highlight w:val="none"/>
          <w:u w:val="none"/>
          <w:lang w:val="en-US" w:eastAsia="zh-CN"/>
        </w:rPr>
        <w:t>按照《茂名市创新“农产品数智化物权信用普惠金融模式”实施细则》文件规定执行。</w:t>
      </w:r>
    </w:p>
    <w:p w14:paraId="4CDF87C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highlight w:val="none"/>
          <w:u w:val="none"/>
          <w:lang w:val="en-US" w:eastAsia="zh-CN"/>
        </w:rPr>
      </w:pPr>
      <w:r>
        <w:rPr>
          <w:rFonts w:hint="eastAsia" w:ascii="楷体_GB2312" w:hAnsi="楷体_GB2312" w:eastAsia="楷体_GB2312" w:cs="楷体_GB2312"/>
          <w:sz w:val="32"/>
          <w:szCs w:val="32"/>
          <w:highlight w:val="none"/>
          <w:u w:val="none"/>
          <w:lang w:val="en-US" w:eastAsia="zh-CN"/>
        </w:rPr>
        <w:t>（四）保费承担比例</w:t>
      </w:r>
      <w:r>
        <w:rPr>
          <w:rFonts w:hint="eastAsia" w:ascii="仿宋_GB2312" w:hAnsi="仿宋_GB2312" w:eastAsia="仿宋_GB2312" w:cs="仿宋_GB2312"/>
          <w:sz w:val="32"/>
          <w:szCs w:val="32"/>
          <w:highlight w:val="none"/>
          <w:u w:val="none"/>
          <w:lang w:val="en-US" w:eastAsia="zh-CN"/>
        </w:rPr>
        <w:t>。按照《茂名市创新“农产品数智化物权信用普惠金融模式”实施细则》文件规定执行。</w:t>
      </w:r>
    </w:p>
    <w:p w14:paraId="7F9E45C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highlight w:val="none"/>
          <w:u w:val="none"/>
          <w:lang w:val="en-US" w:eastAsia="zh-CN"/>
        </w:rPr>
      </w:pPr>
      <w:r>
        <w:rPr>
          <w:rFonts w:hint="eastAsia" w:ascii="楷体_GB2312" w:hAnsi="楷体_GB2312" w:eastAsia="楷体_GB2312" w:cs="楷体_GB2312"/>
          <w:sz w:val="32"/>
          <w:szCs w:val="32"/>
          <w:highlight w:val="none"/>
          <w:u w:val="none"/>
          <w:lang w:val="en-US" w:eastAsia="zh-CN"/>
        </w:rPr>
        <w:t>（五）参保对象和赔付对象。</w:t>
      </w:r>
      <w:r>
        <w:rPr>
          <w:rFonts w:hint="eastAsia" w:ascii="仿宋_GB2312" w:hAnsi="仿宋_GB2312" w:eastAsia="仿宋_GB2312" w:cs="仿宋_GB2312"/>
          <w:sz w:val="32"/>
          <w:szCs w:val="32"/>
          <w:highlight w:val="none"/>
          <w:u w:val="none"/>
          <w:lang w:val="en-US" w:eastAsia="zh-CN"/>
        </w:rPr>
        <w:t>按照《茂名市创新“农产品数智化物权信用普惠金融模式”实施细则》文件规定执行。</w:t>
      </w:r>
    </w:p>
    <w:p w14:paraId="362CC77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highlight w:val="none"/>
          <w:u w:val="none"/>
          <w:lang w:val="en-US" w:eastAsia="zh-CN"/>
        </w:rPr>
      </w:pPr>
      <w:r>
        <w:rPr>
          <w:rFonts w:hint="eastAsia" w:ascii="楷体_GB2312" w:hAnsi="楷体_GB2312" w:eastAsia="楷体_GB2312" w:cs="楷体_GB2312"/>
          <w:sz w:val="32"/>
          <w:szCs w:val="32"/>
          <w:highlight w:val="none"/>
          <w:u w:val="none"/>
          <w:lang w:val="en-US" w:eastAsia="zh-CN"/>
        </w:rPr>
        <w:t>（六）保险费率。</w:t>
      </w:r>
      <w:r>
        <w:rPr>
          <w:rFonts w:hint="eastAsia" w:ascii="仿宋_GB2312" w:hAnsi="仿宋_GB2312" w:eastAsia="仿宋_GB2312" w:cs="仿宋_GB2312"/>
          <w:sz w:val="32"/>
          <w:szCs w:val="32"/>
          <w:highlight w:val="none"/>
          <w:u w:val="none"/>
          <w:lang w:val="en-US" w:eastAsia="zh-CN"/>
        </w:rPr>
        <w:t>按照《茂名市创新“农产品数智化物权信用普惠金融模式”实施细则》文件规定执行，最终以承保机构中标报价为准。</w:t>
      </w:r>
    </w:p>
    <w:p w14:paraId="217995C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highlight w:val="none"/>
          <w:u w:val="none"/>
          <w:lang w:val="en-US" w:eastAsia="zh-CN" w:bidi="ar-SA"/>
        </w:rPr>
      </w:pPr>
      <w:r>
        <w:rPr>
          <w:rFonts w:hint="eastAsia" w:ascii="楷体_GB2312" w:hAnsi="楷体_GB2312" w:eastAsia="楷体_GB2312" w:cs="楷体_GB2312"/>
          <w:sz w:val="32"/>
          <w:szCs w:val="32"/>
          <w:highlight w:val="none"/>
          <w:u w:val="none"/>
          <w:lang w:val="en-US" w:eastAsia="zh-CN"/>
        </w:rPr>
        <w:t>（七）保险内容。</w:t>
      </w:r>
      <w:r>
        <w:rPr>
          <w:rFonts w:hint="eastAsia" w:ascii="仿宋_GB2312" w:hAnsi="仿宋_GB2312" w:eastAsia="仿宋_GB2312" w:cs="仿宋_GB2312"/>
          <w:kern w:val="2"/>
          <w:sz w:val="32"/>
          <w:szCs w:val="32"/>
          <w:highlight w:val="none"/>
          <w:u w:val="none"/>
          <w:lang w:val="en-US" w:eastAsia="zh-CN"/>
        </w:rPr>
        <w:t>实施</w:t>
      </w:r>
      <w:r>
        <w:rPr>
          <w:rFonts w:hint="eastAsia" w:ascii="仿宋_GB2312" w:hAnsi="仿宋_GB2312" w:eastAsia="仿宋_GB2312" w:cs="仿宋_GB2312"/>
          <w:kern w:val="2"/>
          <w:sz w:val="32"/>
          <w:szCs w:val="32"/>
          <w:highlight w:val="none"/>
          <w:u w:val="none"/>
        </w:rPr>
        <w:t>险种</w:t>
      </w:r>
      <w:r>
        <w:rPr>
          <w:rFonts w:hint="eastAsia" w:ascii="仿宋_GB2312" w:hAnsi="仿宋_GB2312" w:eastAsia="仿宋_GB2312" w:cs="仿宋_GB2312"/>
          <w:kern w:val="2"/>
          <w:sz w:val="32"/>
          <w:szCs w:val="32"/>
          <w:highlight w:val="none"/>
          <w:u w:val="none"/>
          <w:lang w:val="en-US" w:eastAsia="zh-CN"/>
        </w:rPr>
        <w:t>包括</w:t>
      </w:r>
      <w:r>
        <w:rPr>
          <w:rFonts w:hint="eastAsia" w:ascii="仿宋_GB2312" w:hAnsi="仿宋_GB2312" w:eastAsia="仿宋_GB2312" w:cs="仿宋_GB2312"/>
          <w:sz w:val="32"/>
          <w:szCs w:val="32"/>
          <w:highlight w:val="none"/>
          <w:u w:val="none"/>
          <w:lang w:val="en-US" w:eastAsia="zh-CN"/>
        </w:rPr>
        <w:t>农产品质量安全责任保险、企业财产综合保险、品牌被侵害损失保险、农产品收入保险</w:t>
      </w:r>
      <w:r>
        <w:rPr>
          <w:rFonts w:hint="eastAsia" w:ascii="仿宋_GB2312" w:hAnsi="仿宋_GB2312" w:eastAsia="仿宋_GB2312" w:cs="仿宋_GB2312"/>
          <w:kern w:val="2"/>
          <w:sz w:val="32"/>
          <w:szCs w:val="32"/>
          <w:highlight w:val="none"/>
          <w:u w:val="none"/>
          <w:lang w:val="en-US" w:eastAsia="zh-CN" w:bidi="ar-SA"/>
        </w:rPr>
        <w:t>。各险种主要保险责任如下：</w:t>
      </w:r>
    </w:p>
    <w:p w14:paraId="6F2DD55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default" w:ascii="仿宋_GB2312" w:hAnsi="仿宋_GB2312" w:eastAsia="仿宋_GB2312" w:cs="仿宋_GB2312"/>
          <w:kern w:val="2"/>
          <w:sz w:val="32"/>
          <w:szCs w:val="32"/>
          <w:highlight w:val="none"/>
          <w:u w:val="none"/>
          <w:lang w:val="en-US" w:eastAsia="zh-CN" w:bidi="ar-SA"/>
        </w:rPr>
      </w:pPr>
      <w:r>
        <w:rPr>
          <w:rFonts w:hint="eastAsia" w:ascii="仿宋_GB2312" w:hAnsi="仿宋_GB2312" w:eastAsia="仿宋_GB2312" w:cs="仿宋_GB2312"/>
          <w:b/>
          <w:bCs/>
          <w:kern w:val="2"/>
          <w:sz w:val="32"/>
          <w:szCs w:val="32"/>
          <w:highlight w:val="none"/>
          <w:u w:val="none"/>
          <w:lang w:val="en-US" w:eastAsia="zh-CN" w:bidi="ar-SA"/>
        </w:rPr>
        <w:t>1.农产品质量安全责任保险的保险责任</w:t>
      </w:r>
      <w:r>
        <w:rPr>
          <w:rFonts w:hint="eastAsia" w:ascii="仿宋_GB2312" w:hAnsi="仿宋_GB2312" w:eastAsia="仿宋_GB2312" w:cs="仿宋_GB2312"/>
          <w:kern w:val="2"/>
          <w:sz w:val="32"/>
          <w:szCs w:val="32"/>
          <w:highlight w:val="none"/>
          <w:u w:val="none"/>
          <w:lang w:val="en-US" w:eastAsia="zh-CN" w:bidi="ar-SA"/>
        </w:rPr>
        <w:t>：在保险期内，承保被保险人因生产、经营的农产品存在农兽药残留超标、重金属微生物污染等质量安全问题导致第三者人身损害或财产损失时，依法应承担的经济赔偿责任，并负责赔偿由此产生的鉴定费、检查费、施救费及法律费用，涵盖但不限于因产品不达标被责令召回所产生的运输及无害化处理费用；因自然灾害等原因导致农产品质量风险等级提高后，为交付合格产品而发生的改良或重新生产费用；因提供的农产品溯源信息存在缺陷而导致消费者退货所产生的相关运输、退货等损失，</w:t>
      </w:r>
      <w:r>
        <w:rPr>
          <w:rFonts w:hint="eastAsia" w:ascii="仿宋_GB2312" w:hAnsi="仿宋_GB2312" w:eastAsia="仿宋_GB2312" w:cs="仿宋_GB2312"/>
          <w:sz w:val="32"/>
          <w:szCs w:val="32"/>
          <w:highlight w:val="none"/>
          <w:u w:val="none"/>
        </w:rPr>
        <w:t>应由被保险人承担的经济赔偿责任，保险人按照本保险合同的约定负责赔偿。</w:t>
      </w:r>
    </w:p>
    <w:p w14:paraId="541FD83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仿宋_GB2312" w:hAnsi="仿宋_GB2312" w:eastAsia="仿宋_GB2312" w:cs="仿宋_GB2312"/>
          <w:kern w:val="2"/>
          <w:sz w:val="32"/>
          <w:szCs w:val="32"/>
          <w:highlight w:val="none"/>
          <w:u w:val="none"/>
          <w:lang w:val="en-US" w:eastAsia="zh-CN" w:bidi="ar-SA"/>
        </w:rPr>
      </w:pPr>
      <w:r>
        <w:rPr>
          <w:rFonts w:hint="eastAsia" w:ascii="仿宋_GB2312" w:hAnsi="仿宋_GB2312" w:eastAsia="仿宋_GB2312" w:cs="仿宋_GB2312"/>
          <w:b/>
          <w:bCs/>
          <w:kern w:val="2"/>
          <w:sz w:val="32"/>
          <w:szCs w:val="32"/>
          <w:highlight w:val="none"/>
          <w:u w:val="none"/>
          <w:lang w:val="en-US" w:eastAsia="zh-CN" w:bidi="ar-SA"/>
        </w:rPr>
        <w:t>2.</w:t>
      </w:r>
      <w:r>
        <w:rPr>
          <w:rFonts w:hint="eastAsia" w:ascii="仿宋_GB2312" w:hAnsi="仿宋_GB2312" w:eastAsia="仿宋_GB2312" w:cs="仿宋_GB2312"/>
          <w:b/>
          <w:bCs/>
          <w:sz w:val="32"/>
          <w:szCs w:val="32"/>
          <w:highlight w:val="none"/>
          <w:u w:val="none"/>
          <w:lang w:val="en-US" w:eastAsia="zh-CN"/>
        </w:rPr>
        <w:t>企业</w:t>
      </w:r>
      <w:r>
        <w:rPr>
          <w:rFonts w:hint="eastAsia" w:ascii="仿宋_GB2312" w:hAnsi="仿宋_GB2312" w:eastAsia="仿宋_GB2312" w:cs="仿宋_GB2312"/>
          <w:b/>
          <w:bCs/>
          <w:sz w:val="32"/>
          <w:szCs w:val="32"/>
          <w:highlight w:val="none"/>
          <w:u w:val="none"/>
        </w:rPr>
        <w:t>财产综合</w:t>
      </w:r>
      <w:r>
        <w:rPr>
          <w:rFonts w:hint="eastAsia" w:ascii="仿宋_GB2312" w:hAnsi="仿宋_GB2312" w:eastAsia="仿宋_GB2312" w:cs="仿宋_GB2312"/>
          <w:b/>
          <w:bCs/>
          <w:sz w:val="32"/>
          <w:szCs w:val="32"/>
          <w:highlight w:val="none"/>
          <w:u w:val="none"/>
          <w:lang w:val="en-US" w:eastAsia="zh-CN"/>
        </w:rPr>
        <w:t>保险的</w:t>
      </w:r>
      <w:r>
        <w:rPr>
          <w:rFonts w:hint="eastAsia" w:ascii="仿宋_GB2312" w:hAnsi="仿宋_GB2312" w:eastAsia="仿宋_GB2312" w:cs="仿宋_GB2312"/>
          <w:b/>
          <w:bCs/>
          <w:kern w:val="2"/>
          <w:sz w:val="32"/>
          <w:szCs w:val="32"/>
          <w:highlight w:val="none"/>
          <w:u w:val="none"/>
          <w:lang w:val="en-US" w:eastAsia="zh-CN" w:bidi="ar-SA"/>
        </w:rPr>
        <w:t>保险责任：</w:t>
      </w:r>
      <w:r>
        <w:rPr>
          <w:rFonts w:hint="eastAsia" w:ascii="仿宋_GB2312" w:hAnsi="仿宋_GB2312" w:eastAsia="仿宋_GB2312" w:cs="仿宋_GB2312"/>
          <w:sz w:val="32"/>
          <w:szCs w:val="32"/>
          <w:highlight w:val="none"/>
          <w:u w:val="none"/>
        </w:rPr>
        <w:t>在保险期间内，由于下列原因造成保险标的的损失，保险人按照保险合同的约定负责赔偿：火灾、爆炸</w:t>
      </w:r>
      <w:r>
        <w:rPr>
          <w:rFonts w:hint="eastAsia" w:ascii="仿宋_GB2312" w:hAnsi="仿宋_GB2312" w:eastAsia="仿宋_GB2312" w:cs="仿宋_GB2312"/>
          <w:sz w:val="32"/>
          <w:szCs w:val="32"/>
          <w:highlight w:val="none"/>
          <w:u w:val="none"/>
          <w:lang w:eastAsia="zh-CN"/>
        </w:rPr>
        <w:t>、</w:t>
      </w:r>
      <w:r>
        <w:rPr>
          <w:rFonts w:hint="eastAsia" w:ascii="仿宋_GB2312" w:hAnsi="仿宋_GB2312" w:eastAsia="仿宋_GB2312" w:cs="仿宋_GB2312"/>
          <w:sz w:val="32"/>
          <w:szCs w:val="32"/>
          <w:highlight w:val="none"/>
          <w:u w:val="none"/>
        </w:rPr>
        <w:t>雷击、暴雨、洪水、暴风、龙卷风、冰雹、台风、飓风、暴雪、冰凌、突发性滑坡、崩塌、泥石流、地面突然下陷下沉；飞行物体及其他空中运行物体坠落。前款原因造成的保险事故发生时，为抢救保险标的或防止灾害蔓延，采取必要的、合理的措施而造成保险标的的损失，保险人按照保险合同的约定也负责赔偿。</w:t>
      </w:r>
    </w:p>
    <w:p w14:paraId="610B6A2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仿宋_GB2312" w:hAnsi="仿宋_GB2312" w:eastAsia="仿宋_GB2312" w:cs="仿宋_GB2312"/>
          <w:kern w:val="2"/>
          <w:sz w:val="32"/>
          <w:szCs w:val="32"/>
          <w:highlight w:val="none"/>
          <w:u w:val="none"/>
          <w:lang w:val="en-US" w:eastAsia="zh-CN" w:bidi="ar-SA"/>
        </w:rPr>
      </w:pPr>
      <w:r>
        <w:rPr>
          <w:rFonts w:hint="eastAsia" w:ascii="仿宋_GB2312" w:hAnsi="仿宋_GB2312" w:eastAsia="仿宋_GB2312" w:cs="仿宋_GB2312"/>
          <w:b/>
          <w:bCs/>
          <w:kern w:val="2"/>
          <w:sz w:val="32"/>
          <w:szCs w:val="32"/>
          <w:highlight w:val="none"/>
          <w:u w:val="none"/>
          <w:lang w:val="en-US" w:eastAsia="zh-CN" w:bidi="ar-SA"/>
        </w:rPr>
        <w:t>3.</w:t>
      </w:r>
      <w:r>
        <w:rPr>
          <w:rFonts w:hint="eastAsia" w:ascii="仿宋_GB2312" w:hAnsi="仿宋_GB2312" w:eastAsia="仿宋_GB2312" w:cs="仿宋_GB2312"/>
          <w:b/>
          <w:bCs/>
          <w:sz w:val="32"/>
          <w:szCs w:val="32"/>
          <w:highlight w:val="none"/>
          <w:u w:val="none"/>
          <w:lang w:val="en-US" w:eastAsia="zh-CN"/>
        </w:rPr>
        <w:t>品牌被侵害损失保险的</w:t>
      </w:r>
      <w:r>
        <w:rPr>
          <w:rFonts w:hint="eastAsia" w:ascii="仿宋_GB2312" w:hAnsi="仿宋_GB2312" w:eastAsia="仿宋_GB2312" w:cs="仿宋_GB2312"/>
          <w:b/>
          <w:bCs/>
          <w:kern w:val="2"/>
          <w:sz w:val="32"/>
          <w:szCs w:val="32"/>
          <w:highlight w:val="none"/>
          <w:u w:val="none"/>
          <w:lang w:val="en-US" w:eastAsia="zh-CN" w:bidi="ar-SA"/>
        </w:rPr>
        <w:t>保险责任</w:t>
      </w:r>
      <w:r>
        <w:rPr>
          <w:rFonts w:hint="eastAsia" w:ascii="仿宋_GB2312" w:hAnsi="仿宋_GB2312" w:eastAsia="仿宋_GB2312" w:cs="仿宋_GB2312"/>
          <w:kern w:val="2"/>
          <w:sz w:val="32"/>
          <w:szCs w:val="32"/>
          <w:highlight w:val="none"/>
          <w:u w:val="none"/>
          <w:lang w:val="en-US" w:eastAsia="zh-CN" w:bidi="ar-SA"/>
        </w:rPr>
        <w:t>：</w:t>
      </w:r>
      <w:r>
        <w:rPr>
          <w:rFonts w:hint="eastAsia" w:ascii="仿宋_GB2312" w:hAnsi="仿宋_GB2312" w:eastAsia="仿宋_GB2312" w:cs="仿宋_GB2312"/>
          <w:sz w:val="32"/>
          <w:szCs w:val="32"/>
          <w:highlight w:val="none"/>
          <w:u w:val="none"/>
        </w:rPr>
        <w:t>在保险期间或保险合同约定的追溯期内，第三方未经被保险人许可首次使用本保险单列明的</w:t>
      </w:r>
      <w:r>
        <w:rPr>
          <w:rFonts w:hint="eastAsia" w:ascii="仿宋_GB2312" w:hAnsi="仿宋_GB2312" w:eastAsia="仿宋_GB2312" w:cs="仿宋_GB2312"/>
          <w:sz w:val="32"/>
          <w:szCs w:val="32"/>
          <w:highlight w:val="none"/>
          <w:u w:val="none"/>
          <w:lang w:eastAsia="zh-CN"/>
        </w:rPr>
        <w:t>企业</w:t>
      </w:r>
      <w:r>
        <w:rPr>
          <w:rFonts w:hint="eastAsia" w:ascii="仿宋_GB2312" w:hAnsi="仿宋_GB2312" w:eastAsia="仿宋_GB2312" w:cs="仿宋_GB2312"/>
          <w:sz w:val="32"/>
          <w:szCs w:val="32"/>
          <w:highlight w:val="none"/>
          <w:u w:val="none"/>
          <w:lang w:val="en-US" w:eastAsia="zh-CN"/>
        </w:rPr>
        <w:t>品牌</w:t>
      </w:r>
      <w:r>
        <w:rPr>
          <w:rFonts w:hint="eastAsia" w:ascii="仿宋_GB2312" w:hAnsi="仿宋_GB2312" w:eastAsia="仿宋_GB2312" w:cs="仿宋_GB2312"/>
          <w:sz w:val="32"/>
          <w:szCs w:val="32"/>
          <w:highlight w:val="none"/>
          <w:u w:val="none"/>
        </w:rPr>
        <w:t>，导致被保险人的直接经济损失，被保险人在保险期间内向保险人索赔的，保险人按照本保险合同约定负责赔偿。</w:t>
      </w:r>
    </w:p>
    <w:p w14:paraId="4896991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仿宋_GB2312" w:hAnsi="仿宋_GB2312" w:eastAsia="仿宋_GB2312" w:cs="仿宋_GB2312"/>
          <w:kern w:val="2"/>
          <w:sz w:val="32"/>
          <w:szCs w:val="32"/>
          <w:highlight w:val="none"/>
          <w:u w:val="none"/>
          <w:lang w:val="en-US" w:eastAsia="zh-CN" w:bidi="ar-SA"/>
        </w:rPr>
      </w:pPr>
      <w:r>
        <w:rPr>
          <w:rFonts w:hint="eastAsia" w:ascii="仿宋_GB2312" w:hAnsi="仿宋_GB2312" w:eastAsia="仿宋_GB2312" w:cs="仿宋_GB2312"/>
          <w:b/>
          <w:bCs/>
          <w:kern w:val="2"/>
          <w:sz w:val="32"/>
          <w:szCs w:val="32"/>
          <w:highlight w:val="none"/>
          <w:u w:val="none"/>
          <w:lang w:val="en-US" w:eastAsia="zh-CN" w:bidi="ar-SA"/>
        </w:rPr>
        <w:t>4.农产品收入保险的</w:t>
      </w:r>
      <w:r>
        <w:rPr>
          <w:rFonts w:hint="eastAsia" w:ascii="仿宋_GB2312" w:hAnsi="仿宋_GB2312" w:eastAsia="仿宋_GB2312" w:cs="仿宋_GB2312"/>
          <w:b/>
          <w:bCs/>
          <w:kern w:val="2"/>
          <w:sz w:val="32"/>
          <w:szCs w:val="32"/>
          <w:highlight w:val="none"/>
          <w:u w:val="none"/>
          <w:lang w:val="en-US" w:eastAsia="zh-CN" w:bidi="ar-SA"/>
        </w:rPr>
        <w:t>保险责任</w:t>
      </w:r>
      <w:r>
        <w:rPr>
          <w:rFonts w:hint="eastAsia" w:ascii="仿宋_GB2312" w:hAnsi="仿宋_GB2312" w:eastAsia="仿宋_GB2312" w:cs="仿宋_GB2312"/>
          <w:kern w:val="2"/>
          <w:sz w:val="32"/>
          <w:szCs w:val="32"/>
          <w:highlight w:val="none"/>
          <w:u w:val="none"/>
          <w:lang w:val="en-US" w:eastAsia="zh-CN" w:bidi="ar-SA"/>
        </w:rPr>
        <w:t>：</w:t>
      </w:r>
      <w:r>
        <w:rPr>
          <w:rFonts w:hint="eastAsia" w:ascii="仿宋" w:hAnsi="仿宋" w:eastAsia="仿宋" w:cs="仿宋"/>
          <w:kern w:val="0"/>
          <w:sz w:val="28"/>
          <w:szCs w:val="28"/>
          <w:highlight w:val="none"/>
          <w:u w:val="none"/>
          <w:lang w:val="en-US" w:eastAsia="zh-CN" w:bidi="ar-SA"/>
        </w:rPr>
        <w:t>在</w:t>
      </w:r>
      <w:r>
        <w:rPr>
          <w:rFonts w:hint="eastAsia" w:ascii="仿宋_GB2312" w:hAnsi="仿宋_GB2312" w:eastAsia="仿宋_GB2312" w:cs="仿宋_GB2312"/>
          <w:kern w:val="2"/>
          <w:sz w:val="32"/>
          <w:szCs w:val="32"/>
          <w:highlight w:val="none"/>
          <w:u w:val="none"/>
          <w:lang w:val="en-US" w:eastAsia="zh-CN" w:bidi="ar-SA"/>
        </w:rPr>
        <w:t>保险期间内，由于因特定自然灾害、特定意外事故、病虫草鼠害、野生动物毁损或市场价格波动，导致保险标的实际收入低于目标收入时，保险人按照本保险合同的约定负责赔偿，保单受益人可以获得金额为“赔偿金额=保险农产品单位目标收入×承保数量-保险农产品单位实际收入×实际上市交易数量”的赔偿。</w:t>
      </w:r>
    </w:p>
    <w:p w14:paraId="25DC4C3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32"/>
          <w:szCs w:val="32"/>
          <w:highlight w:val="none"/>
          <w:u w:val="none"/>
          <w:lang w:val="en-US" w:eastAsia="zh-CN" w:bidi="ar-SA"/>
        </w:rPr>
      </w:pPr>
      <w:r>
        <w:rPr>
          <w:rFonts w:hint="eastAsia" w:ascii="楷体_GB2312" w:hAnsi="楷体_GB2312" w:eastAsia="楷体_GB2312" w:cs="楷体_GB2312"/>
          <w:spacing w:val="0"/>
          <w:sz w:val="32"/>
          <w:szCs w:val="32"/>
          <w:highlight w:val="none"/>
          <w:u w:val="none"/>
          <w:lang w:eastAsia="zh-CN"/>
        </w:rPr>
        <w:t>（</w:t>
      </w:r>
      <w:r>
        <w:rPr>
          <w:rFonts w:hint="eastAsia" w:ascii="楷体_GB2312" w:hAnsi="楷体_GB2312" w:eastAsia="楷体_GB2312" w:cs="楷体_GB2312"/>
          <w:spacing w:val="0"/>
          <w:sz w:val="32"/>
          <w:szCs w:val="32"/>
          <w:highlight w:val="none"/>
          <w:u w:val="none"/>
          <w:lang w:val="en-US" w:eastAsia="zh-CN"/>
        </w:rPr>
        <w:t>八</w:t>
      </w:r>
      <w:r>
        <w:rPr>
          <w:rFonts w:hint="eastAsia" w:ascii="楷体_GB2312" w:hAnsi="楷体_GB2312" w:eastAsia="楷体_GB2312" w:cs="楷体_GB2312"/>
          <w:spacing w:val="0"/>
          <w:sz w:val="32"/>
          <w:szCs w:val="32"/>
          <w:highlight w:val="none"/>
          <w:u w:val="none"/>
          <w:lang w:eastAsia="zh-CN"/>
        </w:rPr>
        <w:t>）</w:t>
      </w:r>
      <w:r>
        <w:rPr>
          <w:rFonts w:hint="eastAsia" w:ascii="楷体" w:hAnsi="楷体" w:eastAsia="楷体" w:cs="楷体"/>
          <w:spacing w:val="10"/>
          <w:sz w:val="31"/>
          <w:szCs w:val="31"/>
          <w:lang w:eastAsia="zh-CN"/>
        </w:rPr>
        <w:t>承保</w:t>
      </w:r>
      <w:r>
        <w:rPr>
          <w:rFonts w:ascii="楷体" w:hAnsi="楷体" w:eastAsia="楷体" w:cs="楷体"/>
          <w:spacing w:val="10"/>
          <w:sz w:val="31"/>
          <w:szCs w:val="31"/>
        </w:rPr>
        <w:t>机构。</w:t>
      </w:r>
      <w:r>
        <w:rPr>
          <w:rFonts w:hint="eastAsia" w:ascii="仿宋_GB2312" w:hAnsi="仿宋_GB2312" w:eastAsia="仿宋_GB2312" w:cs="仿宋_GB2312"/>
          <w:color w:val="auto"/>
          <w:sz w:val="32"/>
          <w:szCs w:val="32"/>
          <w:highlight w:val="none"/>
          <w:u w:val="none"/>
          <w:lang w:val="en-US" w:eastAsia="zh-CN"/>
        </w:rPr>
        <w:t>为促进本项目绩效目标达成，扩大承保能力、有效分散风险、提升服务水平，构建稳健的保险保障模式，本项目采用共保体形式进行保险服务，由1名主承保人和3名共保人组成</w:t>
      </w:r>
      <w:r>
        <w:rPr>
          <w:rFonts w:hint="eastAsia" w:ascii="仿宋_GB2312" w:hAnsi="仿宋_GB2312" w:eastAsia="仿宋_GB2312" w:cs="仿宋_GB2312"/>
          <w:kern w:val="2"/>
          <w:sz w:val="32"/>
          <w:szCs w:val="32"/>
          <w:highlight w:val="none"/>
          <w:u w:val="none"/>
          <w:lang w:val="en-US" w:eastAsia="zh-CN" w:bidi="ar-SA"/>
        </w:rPr>
        <w:t>，其中，项目保费90%的份额作为基础份额，即按照主承保人54%，3名从共保人依次22.5%、9%、4.5%的比例，承担相应的义务和责任，剩余10%份额按照主动开拓激励机制对主动开拓的经办机构进行奖励。</w:t>
      </w:r>
    </w:p>
    <w:p w14:paraId="716757D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楷体" w:hAnsi="楷体" w:eastAsia="楷体" w:cs="楷体"/>
          <w:color w:val="auto"/>
          <w:sz w:val="32"/>
          <w:szCs w:val="32"/>
          <w:highlight w:val="none"/>
          <w:u w:val="none"/>
          <w:lang w:val="en-US" w:eastAsia="zh-CN"/>
        </w:rPr>
        <w:t>（九）开展模式及主动开拓激励机制。</w:t>
      </w:r>
      <w:r>
        <w:rPr>
          <w:rFonts w:hint="eastAsia" w:ascii="仿宋_GB2312" w:hAnsi="仿宋_GB2312" w:eastAsia="仿宋_GB2312" w:cs="仿宋_GB2312"/>
          <w:kern w:val="2"/>
          <w:sz w:val="32"/>
          <w:szCs w:val="32"/>
          <w:highlight w:val="none"/>
          <w:u w:val="none"/>
          <w:lang w:val="en-US" w:eastAsia="zh-CN" w:bidi="ar-SA"/>
        </w:rPr>
        <w:t>共保体主承保人负责共保体列明服务范围内的经营活动，负责牵头共保体日常事务，按照相关要求，在茂名市辖区内负责本项目所有保单的承保出单、收取保费、查勘定损理赔等服务，并组织共保体成员签订共保协议，开展本项目需要系统建设等其他服务事项内容。其他共保体成员负责配合主承保人积极推动展业服务，寻找有参与意向的农业生产经营主体，促进项目绩效目标达成，协同办理承保理赔宣传等服务，以及本项目其他需求事项。为鼓励各共保体成员积极展业，本项目设立10%的奖励份额，按照“谁拓展、谁受益”的原则，额外奖励每份保单主导签单的共保体成员。具体奖励规则以共保体协议列明的条款为准。</w:t>
      </w:r>
    </w:p>
    <w:p w14:paraId="7A26FDB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楷体" w:hAnsi="楷体" w:eastAsia="楷体" w:cs="楷体"/>
          <w:color w:val="auto"/>
          <w:sz w:val="32"/>
          <w:szCs w:val="32"/>
          <w:highlight w:val="none"/>
          <w:u w:val="none"/>
          <w:lang w:val="en-US" w:eastAsia="zh-CN"/>
        </w:rPr>
        <w:t>（十）设置费率动态调整和无赔款优待机制。</w:t>
      </w:r>
      <w:r>
        <w:rPr>
          <w:rFonts w:hint="eastAsia" w:ascii="仿宋_GB2312" w:hAnsi="仿宋_GB2312" w:eastAsia="仿宋_GB2312" w:cs="仿宋_GB2312"/>
          <w:color w:val="auto"/>
          <w:sz w:val="32"/>
          <w:szCs w:val="32"/>
          <w:highlight w:val="none"/>
          <w:u w:val="none"/>
          <w:lang w:val="en-US" w:eastAsia="zh-CN"/>
        </w:rPr>
        <w:t>引导农业生产经营主体配合承保机构做好风险减量管理，对风险防范到位，上一期保险期间内无理赔的投保人，下一期投保时，适当下调保险费率；对疏于风险防范、不配合防灾防损、赔付率超高的投保人，可适当上调保险费率。具体调整幅度、金额由投保人与共保体商定，报农业农村局审核备案。</w:t>
      </w:r>
    </w:p>
    <w:p w14:paraId="535AD7ED">
      <w:pPr>
        <w:keepNext w:val="0"/>
        <w:keepLines w:val="0"/>
        <w:pageBreakBefore w:val="0"/>
        <w:widowControl w:val="0"/>
        <w:kinsoku/>
        <w:wordWrap/>
        <w:overflowPunct/>
        <w:topLinePunct w:val="0"/>
        <w:autoSpaceDE/>
        <w:autoSpaceDN/>
        <w:bidi w:val="0"/>
        <w:adjustRightInd/>
        <w:snapToGrid/>
        <w:spacing w:line="560" w:lineRule="exact"/>
        <w:textAlignment w:val="auto"/>
        <w:outlineLvl w:val="0"/>
        <w:rPr>
          <w:rFonts w:hint="eastAsia" w:ascii="黑体" w:hAnsi="黑体" w:eastAsia="黑体" w:cs="黑体"/>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t>四、保费补贴资金管理和拨付</w:t>
      </w:r>
    </w:p>
    <w:p w14:paraId="67A5EA3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保费补贴拨付按照预算管理体制、国库集中支付制度、《中华人民共和国预算法》及其实施条例等有关要求执行，按照</w:t>
      </w:r>
      <w:r>
        <w:rPr>
          <w:rFonts w:hint="eastAsia" w:ascii="仿宋_GB2312" w:hAnsi="仿宋_GB2312" w:eastAsia="仿宋_GB2312" w:cs="仿宋_GB2312"/>
          <w:sz w:val="32"/>
          <w:szCs w:val="32"/>
          <w:highlight w:val="none"/>
          <w:u w:val="none"/>
        </w:rPr>
        <w:t>《普惠金融发展专项资金管理办法》（财金〔2023〕75号）</w:t>
      </w:r>
      <w:r>
        <w:rPr>
          <w:rFonts w:hint="eastAsia" w:ascii="仿宋_GB2312" w:hAnsi="仿宋_GB2312" w:eastAsia="仿宋_GB2312" w:cs="仿宋_GB2312"/>
          <w:sz w:val="32"/>
          <w:szCs w:val="32"/>
          <w:highlight w:val="none"/>
          <w:u w:val="none"/>
          <w:lang w:val="en-US" w:eastAsia="zh-CN"/>
        </w:rPr>
        <w:t>单独结算</w:t>
      </w:r>
      <w:r>
        <w:rPr>
          <w:rFonts w:hint="eastAsia" w:ascii="仿宋_GB2312" w:hAnsi="仿宋_GB2312" w:eastAsia="仿宋_GB2312" w:cs="仿宋_GB2312"/>
          <w:color w:val="auto"/>
          <w:sz w:val="32"/>
          <w:szCs w:val="32"/>
          <w:highlight w:val="none"/>
          <w:u w:val="none"/>
          <w:lang w:val="en-US" w:eastAsia="zh-CN"/>
        </w:rPr>
        <w:t>。</w:t>
      </w:r>
    </w:p>
    <w:p w14:paraId="43FB21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（一）市财政局负责保费补贴的预算编制、申报审批、结算拨付、监督核查及信息公开。对国鑫公司管理的支农贷款风险补偿金使用情况进行全程监督管理，确保资金专款专用、合规使用。</w:t>
      </w:r>
    </w:p>
    <w:p w14:paraId="063F62E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二）国鑫公司严格按照规定管控资金，确保资金专项用于本模式下农产品生产经营主体的保险保费补贴。在银行开立支农贷款风险补偿金资金专户，实行专款专用、单独核算，不得将资金挪作他用，保障资金账户安全。按照市财政局审批意见，按程序办理保费补贴资金拨付手续，做好资金拨付台账登记，确保资金拨付精准、高效。定期向市财政局报送支农贷款风险补偿金的收支、结余情况及资金使用管理报告，接受财政部门的监督检查。</w:t>
      </w:r>
    </w:p>
    <w:p w14:paraId="519CDD0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楷体_GB2312" w:hAnsi="楷体_GB2312" w:eastAsia="楷体_GB2312" w:cs="楷体_GB2312"/>
          <w:color w:val="auto"/>
          <w:sz w:val="32"/>
          <w:szCs w:val="32"/>
          <w:highlight w:val="none"/>
          <w:u w:val="none"/>
          <w:lang w:val="en-US" w:eastAsia="zh-CN"/>
        </w:rPr>
        <w:t>（三）</w:t>
      </w:r>
      <w:r>
        <w:rPr>
          <w:rFonts w:hint="eastAsia" w:ascii="仿宋_GB2312" w:hAnsi="仿宋_GB2312" w:eastAsia="仿宋_GB2312" w:cs="仿宋_GB2312"/>
          <w:color w:val="auto"/>
          <w:sz w:val="32"/>
          <w:szCs w:val="32"/>
          <w:highlight w:val="none"/>
          <w:u w:val="none"/>
          <w:lang w:val="en-US" w:eastAsia="zh-CN"/>
        </w:rPr>
        <w:t>承保机构按季度汇总模式内保险承保结算材料报送国鑫公司，国鑫公司汇总、审核结算材料并报市财政局审核同意后，按程序办理资金拨付手续。</w:t>
      </w:r>
    </w:p>
    <w:p w14:paraId="18E1E0A1">
      <w:pPr>
        <w:keepNext w:val="0"/>
        <w:keepLines w:val="0"/>
        <w:pageBreakBefore w:val="0"/>
        <w:widowControl w:val="0"/>
        <w:kinsoku/>
        <w:wordWrap/>
        <w:overflowPunct/>
        <w:topLinePunct w:val="0"/>
        <w:autoSpaceDE/>
        <w:autoSpaceDN/>
        <w:bidi w:val="0"/>
        <w:adjustRightInd/>
        <w:snapToGrid/>
        <w:spacing w:line="560" w:lineRule="exact"/>
        <w:textAlignment w:val="auto"/>
        <w:outlineLvl w:val="0"/>
        <w:rPr>
          <w:rFonts w:hint="eastAsia" w:ascii="黑体" w:hAnsi="黑体" w:eastAsia="黑体" w:cs="黑体"/>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t>五、承保机构履责管理</w:t>
      </w:r>
    </w:p>
    <w:p w14:paraId="4252A2D4">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auto"/>
          <w:sz w:val="32"/>
          <w:szCs w:val="32"/>
          <w:highlight w:val="none"/>
          <w:u w:val="none"/>
          <w:lang w:val="en-US" w:eastAsia="zh-CN"/>
        </w:rPr>
      </w:pPr>
      <w:r>
        <w:rPr>
          <w:rFonts w:hint="eastAsia" w:ascii="楷体" w:hAnsi="楷体" w:eastAsia="楷体" w:cs="楷体"/>
          <w:color w:val="auto"/>
          <w:sz w:val="32"/>
          <w:szCs w:val="32"/>
          <w:highlight w:val="none"/>
          <w:u w:val="none"/>
          <w:lang w:val="en-US" w:eastAsia="zh-CN"/>
        </w:rPr>
        <w:t>(一)承保机构管理。</w:t>
      </w:r>
      <w:r>
        <w:rPr>
          <w:rFonts w:hint="eastAsia" w:ascii="仿宋_GB2312" w:hAnsi="仿宋_GB2312" w:eastAsia="仿宋_GB2312" w:cs="仿宋_GB2312"/>
          <w:color w:val="auto"/>
          <w:sz w:val="32"/>
          <w:szCs w:val="32"/>
          <w:highlight w:val="none"/>
          <w:u w:val="none"/>
          <w:lang w:val="en-US" w:eastAsia="zh-CN"/>
        </w:rPr>
        <w:t>市财政局牵头，委托国鑫公司会同运营方对承保机构进行协调管理，督促承保机构按中标合同计提防灾防损基金、安排协保费，组织召开项目总结分析会，对承保机构的政策宣传、承保办理、防灾防损、理赔服务、惠农助农等服务工作进行评价，提出工作建议。市财政局督办管理效果。</w:t>
      </w:r>
    </w:p>
    <w:p w14:paraId="12967CD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楷体" w:hAnsi="楷体" w:eastAsia="楷体" w:cs="楷体"/>
          <w:color w:val="auto"/>
          <w:sz w:val="32"/>
          <w:szCs w:val="32"/>
          <w:highlight w:val="none"/>
          <w:u w:val="none"/>
          <w:lang w:val="en-US" w:eastAsia="zh-CN"/>
        </w:rPr>
        <w:t>(二)投保理赔管理。</w:t>
      </w:r>
      <w:r>
        <w:rPr>
          <w:rFonts w:hint="eastAsia" w:ascii="仿宋_GB2312" w:hAnsi="仿宋_GB2312" w:eastAsia="仿宋_GB2312" w:cs="仿宋_GB2312"/>
          <w:color w:val="auto"/>
          <w:sz w:val="32"/>
          <w:szCs w:val="32"/>
          <w:highlight w:val="none"/>
          <w:u w:val="none"/>
          <w:lang w:val="en-US" w:eastAsia="zh-CN"/>
        </w:rPr>
        <w:t>承保机构须基于合规、合法的原则创新投保理赔服务方式，简化手续，优化流程，做到主动开拓、应保尽保，应赔快赔。</w:t>
      </w:r>
    </w:p>
    <w:p w14:paraId="7869F4E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1.承保出单。承保机构应在收到参保人自缴保费后，出具保险单；</w:t>
      </w:r>
    </w:p>
    <w:p w14:paraId="36944F9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2.核保验标。运营方配合督促参保人提供投保关键信息及资料，支持保险公司投保、验标同步进行。</w:t>
      </w:r>
    </w:p>
    <w:p w14:paraId="050D545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3.理赔数据支持。运营方定期更新模式内产业发展各项指标（包含监管仓平均存量、日吞吐量、出入仓价格指标等），作为保险公司承保、理赔的依据来源。</w:t>
      </w:r>
    </w:p>
    <w:p w14:paraId="20882BC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4.理赔查勘。接到报案后，需要查勘的，承保机构要在1小时内到达现场进行查勘定损。</w:t>
      </w:r>
    </w:p>
    <w:p w14:paraId="7B61949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5.理赔处理。按照保险条款要求执行，最终以招标文件的说明和保险合同的约定为准。</w:t>
      </w:r>
    </w:p>
    <w:p w14:paraId="1F1AF78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楷体_GB2312" w:hAnsi="楷体_GB2312" w:eastAsia="楷体_GB2312" w:cs="楷体_GB2312"/>
          <w:color w:val="auto"/>
          <w:sz w:val="32"/>
          <w:szCs w:val="32"/>
          <w:highlight w:val="none"/>
          <w:u w:val="none"/>
          <w:lang w:val="en-US" w:eastAsia="zh-CN"/>
        </w:rPr>
        <w:t>(三)防灾防损管理</w:t>
      </w:r>
      <w:r>
        <w:rPr>
          <w:rFonts w:hint="eastAsia" w:ascii="仿宋_GB2312" w:hAnsi="仿宋_GB2312" w:eastAsia="仿宋_GB2312" w:cs="仿宋_GB2312"/>
          <w:color w:val="auto"/>
          <w:sz w:val="32"/>
          <w:szCs w:val="32"/>
          <w:highlight w:val="none"/>
          <w:u w:val="none"/>
          <w:lang w:val="en-US" w:eastAsia="zh-CN"/>
        </w:rPr>
        <w:t>。承保机构对于承保的</w:t>
      </w:r>
      <w:r>
        <w:rPr>
          <w:rFonts w:hint="eastAsia" w:ascii="仿宋_GB2312" w:hAnsi="仿宋_GB2312" w:eastAsia="仿宋_GB2312" w:cs="仿宋_GB2312"/>
          <w:kern w:val="2"/>
          <w:sz w:val="32"/>
          <w:szCs w:val="32"/>
          <w:highlight w:val="none"/>
          <w:u w:val="none"/>
          <w:lang w:val="en-US" w:eastAsia="zh-CN" w:bidi="ar-SA"/>
        </w:rPr>
        <w:t>农产品质量安全责任保险、企业财产综合险，</w:t>
      </w:r>
      <w:r>
        <w:rPr>
          <w:rFonts w:hint="eastAsia" w:ascii="仿宋_GB2312" w:hAnsi="仿宋_GB2312" w:eastAsia="仿宋_GB2312" w:cs="仿宋_GB2312"/>
          <w:color w:val="auto"/>
          <w:sz w:val="32"/>
          <w:szCs w:val="32"/>
          <w:highlight w:val="none"/>
          <w:u w:val="none"/>
          <w:lang w:val="en-US" w:eastAsia="zh-CN"/>
        </w:rPr>
        <w:t>须按照产业安全生产经营需要，以年度为单位，计提防灾防损基金，拟定防灾防损工作计划，提交市财政局审核，并由模式运营方组织实施，市财政局督导实施进展及效果，实施效果作为对承保机构考核的重要依据。</w:t>
      </w:r>
    </w:p>
    <w:p w14:paraId="7EA47E78">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楷体_GB2312" w:hAnsi="楷体_GB2312" w:eastAsia="楷体_GB2312" w:cs="楷体_GB2312"/>
          <w:color w:val="auto"/>
          <w:sz w:val="32"/>
          <w:szCs w:val="32"/>
          <w:highlight w:val="none"/>
          <w:u w:val="none"/>
          <w:lang w:val="en-US" w:eastAsia="zh-CN"/>
        </w:rPr>
        <w:t>(四)</w:t>
      </w:r>
      <w:r>
        <w:rPr>
          <w:rFonts w:hint="eastAsia" w:ascii="仿宋_GB2312" w:hAnsi="仿宋_GB2312" w:eastAsia="仿宋_GB2312" w:cs="仿宋_GB2312"/>
          <w:color w:val="auto"/>
          <w:sz w:val="32"/>
          <w:szCs w:val="32"/>
          <w:highlight w:val="none"/>
          <w:u w:val="none"/>
          <w:lang w:val="en-US" w:eastAsia="zh-CN"/>
        </w:rPr>
        <w:t>市财政局牵头，委托国鑫公司会同运营方对承保机构上一年度工作进行履约评价，重点评价承保办理、防灾防损、理赔效率、群众满意度等情况，对表现突出的保险机构，推荐参与优秀金融服务机构团队评选。</w:t>
      </w:r>
    </w:p>
    <w:p w14:paraId="15A72076">
      <w:pPr>
        <w:keepNext w:val="0"/>
        <w:keepLines w:val="0"/>
        <w:pageBreakBefore w:val="0"/>
        <w:widowControl w:val="0"/>
        <w:kinsoku/>
        <w:wordWrap/>
        <w:overflowPunct/>
        <w:topLinePunct w:val="0"/>
        <w:autoSpaceDE/>
        <w:autoSpaceDN/>
        <w:bidi w:val="0"/>
        <w:adjustRightInd/>
        <w:snapToGrid/>
        <w:spacing w:line="560" w:lineRule="exact"/>
        <w:textAlignment w:val="auto"/>
        <w:outlineLvl w:val="0"/>
        <w:rPr>
          <w:rFonts w:hint="eastAsia" w:ascii="黑体" w:hAnsi="黑体" w:eastAsia="黑体" w:cs="黑体"/>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t>六、保障措施和要求</w:t>
      </w:r>
    </w:p>
    <w:p w14:paraId="5E65667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楷体_GB2312" w:hAnsi="楷体_GB2312" w:eastAsia="楷体_GB2312" w:cs="楷体_GB2312"/>
          <w:color w:val="auto"/>
          <w:sz w:val="32"/>
          <w:szCs w:val="32"/>
          <w:highlight w:val="none"/>
          <w:u w:val="none"/>
          <w:lang w:val="en-US" w:eastAsia="zh-CN"/>
        </w:rPr>
        <w:t>(一)加强组织领导。</w:t>
      </w:r>
      <w:r>
        <w:rPr>
          <w:rFonts w:hint="eastAsia" w:ascii="仿宋_GB2312" w:hAnsi="仿宋_GB2312" w:eastAsia="仿宋_GB2312" w:cs="仿宋_GB2312"/>
          <w:color w:val="auto"/>
          <w:sz w:val="32"/>
          <w:szCs w:val="32"/>
          <w:highlight w:val="none"/>
          <w:u w:val="none"/>
          <w:lang w:val="en-US" w:eastAsia="zh-CN"/>
        </w:rPr>
        <w:t>市财政局、茂名金融监管分局对本模式保险工作进行组织指导，完善沟通、协调、监督、管理工作机制，及时通报有关情况，研究解决问题，确保模式保险部分工作顺利推进。</w:t>
      </w:r>
    </w:p>
    <w:p w14:paraId="397B00E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楷体_GB2312" w:hAnsi="楷体_GB2312" w:eastAsia="楷体_GB2312" w:cs="楷体_GB2312"/>
          <w:color w:val="auto"/>
          <w:sz w:val="32"/>
          <w:szCs w:val="32"/>
          <w:highlight w:val="none"/>
          <w:u w:val="none"/>
          <w:lang w:val="en-US" w:eastAsia="zh-CN"/>
        </w:rPr>
        <w:t>(二)加强协调配合。</w:t>
      </w:r>
      <w:r>
        <w:rPr>
          <w:rFonts w:hint="eastAsia" w:ascii="仿宋_GB2312" w:hAnsi="仿宋_GB2312" w:eastAsia="仿宋_GB2312" w:cs="仿宋_GB2312"/>
          <w:color w:val="auto"/>
          <w:sz w:val="32"/>
          <w:szCs w:val="32"/>
          <w:highlight w:val="none"/>
          <w:u w:val="none"/>
          <w:lang w:val="en-US" w:eastAsia="zh-CN"/>
        </w:rPr>
        <w:t>建立重大问题会商机制，加强沟通协调，形成工作合力。市财政局主要负责本模式管理监督工作，并做好财政补贴资金的预算、拨付、管理、结算、监督等工作，确保财政补贴资金及时足额安排。茂名金融监管分局负责对承保机构开展日常监督管理，加强对承保、理赔、服务等环节的监督，督促承保机构履行保险赔偿责任、提高服务水平。承保机构要做好农户档案资料的收集、审核、保存和管理工作，加强承保、防灾防损、查勘定损、理赔等专业化服务，把维 护农户合法权益放在首位。</w:t>
      </w:r>
    </w:p>
    <w:p w14:paraId="6652FE1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楷体_GB2312" w:hAnsi="楷体_GB2312" w:eastAsia="楷体_GB2312" w:cs="楷体_GB2312"/>
          <w:color w:val="auto"/>
          <w:sz w:val="32"/>
          <w:szCs w:val="32"/>
          <w:highlight w:val="none"/>
          <w:u w:val="none"/>
          <w:lang w:val="en-US" w:eastAsia="zh-CN"/>
        </w:rPr>
        <w:t>(三)加强数据共享。</w:t>
      </w:r>
      <w:r>
        <w:rPr>
          <w:rFonts w:hint="eastAsia" w:ascii="仿宋_GB2312" w:hAnsi="仿宋_GB2312" w:eastAsia="仿宋_GB2312" w:cs="仿宋_GB2312"/>
          <w:color w:val="auto"/>
          <w:sz w:val="32"/>
          <w:szCs w:val="32"/>
          <w:highlight w:val="none"/>
          <w:u w:val="none"/>
          <w:lang w:val="en-US" w:eastAsia="zh-CN"/>
        </w:rPr>
        <w:t>运营方应加强模式内各方协作沟通，牵头建立数据共享机制，在确保数据安全的前提下，提供模式运营关键数据信息，协助保险公司快速获取核验、承保、理赔数据。</w:t>
      </w:r>
    </w:p>
    <w:p w14:paraId="3BE19B4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楷体_GB2312" w:hAnsi="楷体_GB2312" w:eastAsia="楷体_GB2312" w:cs="楷体_GB2312"/>
          <w:color w:val="auto"/>
          <w:sz w:val="32"/>
          <w:szCs w:val="32"/>
          <w:highlight w:val="none"/>
          <w:u w:val="none"/>
          <w:lang w:val="en-US" w:eastAsia="zh-CN"/>
        </w:rPr>
        <w:t>(四)加强宣传发动和业务培训。</w:t>
      </w:r>
      <w:r>
        <w:rPr>
          <w:rFonts w:hint="eastAsia" w:ascii="仿宋_GB2312" w:hAnsi="仿宋_GB2312" w:eastAsia="仿宋_GB2312" w:cs="仿宋_GB2312"/>
          <w:color w:val="auto"/>
          <w:sz w:val="32"/>
          <w:szCs w:val="32"/>
          <w:highlight w:val="none"/>
          <w:u w:val="none"/>
          <w:lang w:val="en-US" w:eastAsia="zh-CN"/>
        </w:rPr>
        <w:t>运营方、承保机构要加大保险政策宣传力度，充分利用融媒体、自媒体等新闻媒体，通过召开专题会议、编印、张贴、发放宣传资料等多种形式，广泛宣传，增强广大农民群众的保险意识、风险防范意识，引导农业生产经营主体积极主动投保。</w:t>
      </w:r>
    </w:p>
    <w:sectPr>
      <w:footerReference r:id="rId5" w:type="default"/>
      <w:pgSz w:w="11906" w:h="16838"/>
      <w:pgMar w:top="1440" w:right="1800" w:bottom="1440" w:left="1800"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5BA37">
    <w:pPr>
      <w:spacing w:line="233" w:lineRule="auto"/>
      <w:ind w:left="0" w:leftChars="0" w:firstLine="0" w:firstLineChars="0"/>
      <w:rPr>
        <w:rFonts w:ascii="宋体" w:hAnsi="宋体" w:eastAsia="宋体" w:cs="宋体"/>
        <w:sz w:val="31"/>
        <w:szCs w:val="31"/>
      </w:rPr>
    </w:pPr>
    <w:r>
      <w:rPr>
        <w:sz w:val="3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45EA78">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145EA78">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640"/>
      </w:pPr>
      <w:r>
        <w:separator/>
      </w:r>
    </w:p>
  </w:footnote>
  <w:footnote w:type="continuationSeparator" w:id="1">
    <w:p>
      <w:pPr>
        <w:spacing w:line="36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EF5E0F"/>
    <w:rsid w:val="002C39C9"/>
    <w:rsid w:val="01F80308"/>
    <w:rsid w:val="02072A78"/>
    <w:rsid w:val="029941A6"/>
    <w:rsid w:val="04697A60"/>
    <w:rsid w:val="04A954D0"/>
    <w:rsid w:val="058915E0"/>
    <w:rsid w:val="067969EE"/>
    <w:rsid w:val="08DB7326"/>
    <w:rsid w:val="093A50ED"/>
    <w:rsid w:val="0A4800A6"/>
    <w:rsid w:val="0AC9746A"/>
    <w:rsid w:val="0C4C1951"/>
    <w:rsid w:val="0E8E43FD"/>
    <w:rsid w:val="0F6F79B1"/>
    <w:rsid w:val="10CB5F76"/>
    <w:rsid w:val="13960848"/>
    <w:rsid w:val="14521598"/>
    <w:rsid w:val="14C13806"/>
    <w:rsid w:val="14F246A6"/>
    <w:rsid w:val="190F79B1"/>
    <w:rsid w:val="1ACB5BE6"/>
    <w:rsid w:val="1E0B5DC6"/>
    <w:rsid w:val="1F48509A"/>
    <w:rsid w:val="21533D17"/>
    <w:rsid w:val="24E448AE"/>
    <w:rsid w:val="28C27930"/>
    <w:rsid w:val="29466DCB"/>
    <w:rsid w:val="2B111A28"/>
    <w:rsid w:val="2C496694"/>
    <w:rsid w:val="2E2C36E3"/>
    <w:rsid w:val="313D6E91"/>
    <w:rsid w:val="32A43B7A"/>
    <w:rsid w:val="34D66FA5"/>
    <w:rsid w:val="35D95EFE"/>
    <w:rsid w:val="364054B8"/>
    <w:rsid w:val="36B668F7"/>
    <w:rsid w:val="373674E9"/>
    <w:rsid w:val="37372B3D"/>
    <w:rsid w:val="3A75576B"/>
    <w:rsid w:val="3A9B5E08"/>
    <w:rsid w:val="3AC05F37"/>
    <w:rsid w:val="3B4379FD"/>
    <w:rsid w:val="3BEF2E55"/>
    <w:rsid w:val="3D2512A6"/>
    <w:rsid w:val="3E063608"/>
    <w:rsid w:val="3F7D523F"/>
    <w:rsid w:val="435D705E"/>
    <w:rsid w:val="47702007"/>
    <w:rsid w:val="477A3BF0"/>
    <w:rsid w:val="4A503386"/>
    <w:rsid w:val="4ACB12A3"/>
    <w:rsid w:val="4B8578F9"/>
    <w:rsid w:val="4B872D84"/>
    <w:rsid w:val="534D4FDD"/>
    <w:rsid w:val="54270927"/>
    <w:rsid w:val="5595020C"/>
    <w:rsid w:val="5A834596"/>
    <w:rsid w:val="5B1C452A"/>
    <w:rsid w:val="5BD45084"/>
    <w:rsid w:val="5CD64D81"/>
    <w:rsid w:val="5E4B5F9E"/>
    <w:rsid w:val="5E4C0FD4"/>
    <w:rsid w:val="5FA469AD"/>
    <w:rsid w:val="61A60B00"/>
    <w:rsid w:val="629E0D4D"/>
    <w:rsid w:val="64634C1F"/>
    <w:rsid w:val="65C14BDA"/>
    <w:rsid w:val="664F0523"/>
    <w:rsid w:val="6D5F6234"/>
    <w:rsid w:val="70CF5977"/>
    <w:rsid w:val="72A761F9"/>
    <w:rsid w:val="72EB64F8"/>
    <w:rsid w:val="72F8627E"/>
    <w:rsid w:val="76AE7130"/>
    <w:rsid w:val="7836450F"/>
    <w:rsid w:val="7A2913E9"/>
    <w:rsid w:val="7B5C340C"/>
    <w:rsid w:val="7BBC6905"/>
    <w:rsid w:val="7C281C71"/>
    <w:rsid w:val="7C3F3C97"/>
    <w:rsid w:val="7CEF5E0F"/>
    <w:rsid w:val="7E4B7D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964" w:firstLineChars="200"/>
      <w:jc w:val="both"/>
    </w:pPr>
    <w:rPr>
      <w:rFonts w:ascii="仿宋" w:hAnsi="仿宋" w:eastAsia="仿宋" w:cstheme="minorBidi"/>
      <w:kern w:val="2"/>
      <w:sz w:val="32"/>
      <w:szCs w:val="24"/>
      <w:lang w:val="en-US" w:eastAsia="zh-CN" w:bidi="ar-SA"/>
    </w:rPr>
  </w:style>
  <w:style w:type="paragraph" w:styleId="2">
    <w:name w:val="heading 1"/>
    <w:basedOn w:val="1"/>
    <w:next w:val="1"/>
    <w:qFormat/>
    <w:uiPriority w:val="0"/>
    <w:pPr>
      <w:keepNext/>
      <w:keepLines/>
      <w:spacing w:beforeLines="0" w:beforeAutospacing="0" w:afterLines="0" w:afterAutospacing="0" w:line="360" w:lineRule="auto"/>
      <w:ind w:firstLine="0" w:firstLineChars="0"/>
      <w:outlineLvl w:val="0"/>
    </w:pPr>
    <w:rPr>
      <w:rFonts w:ascii="宋体" w:hAnsi="宋体"/>
      <w:b/>
      <w:kern w:val="44"/>
      <w:sz w:val="44"/>
    </w:rPr>
  </w:style>
  <w:style w:type="paragraph" w:styleId="3">
    <w:name w:val="heading 2"/>
    <w:basedOn w:val="1"/>
    <w:next w:val="1"/>
    <w:semiHidden/>
    <w:unhideWhenUsed/>
    <w:qFormat/>
    <w:uiPriority w:val="0"/>
    <w:pPr>
      <w:keepNext/>
      <w:keepLines/>
      <w:spacing w:beforeLines="0" w:beforeAutospacing="0" w:afterLines="0" w:afterAutospacing="0" w:line="360" w:lineRule="auto"/>
      <w:ind w:firstLine="0" w:firstLineChars="0"/>
      <w:jc w:val="center"/>
      <w:outlineLvl w:val="1"/>
    </w:pPr>
    <w:rPr>
      <w:rFonts w:ascii="Arial" w:hAnsi="Arial" w:eastAsia="宋体"/>
      <w:b/>
    </w:rPr>
  </w:style>
  <w:style w:type="paragraph" w:styleId="4">
    <w:name w:val="heading 3"/>
    <w:basedOn w:val="1"/>
    <w:next w:val="1"/>
    <w:semiHidden/>
    <w:unhideWhenUsed/>
    <w:qFormat/>
    <w:uiPriority w:val="0"/>
    <w:pPr>
      <w:keepNext/>
      <w:keepLines/>
      <w:spacing w:beforeLines="0" w:beforeAutospacing="0" w:afterLines="0" w:afterAutospacing="0" w:line="360" w:lineRule="auto"/>
      <w:ind w:firstLine="0" w:firstLineChars="0"/>
      <w:outlineLvl w:val="2"/>
    </w:pPr>
    <w:rPr>
      <w:rFonts w:ascii="宋体" w:hAnsi="宋体" w:eastAsia="宋体"/>
      <w:b/>
    </w:rPr>
  </w:style>
  <w:style w:type="paragraph" w:styleId="5">
    <w:name w:val="heading 4"/>
    <w:basedOn w:val="1"/>
    <w:next w:val="1"/>
    <w:semiHidden/>
    <w:unhideWhenUsed/>
    <w:qFormat/>
    <w:uiPriority w:val="0"/>
    <w:pPr>
      <w:keepNext/>
      <w:keepLines/>
      <w:spacing w:beforeLines="0" w:beforeAutospacing="0" w:afterLines="0" w:afterAutospacing="0" w:line="360" w:lineRule="auto"/>
      <w:outlineLvl w:val="3"/>
    </w:pPr>
    <w:rPr>
      <w:rFonts w:ascii="仿宋" w:hAnsi="仿宋" w:eastAsia="仿宋"/>
      <w:b/>
      <w:sz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6">
    <w:name w:val="Body Text"/>
    <w:basedOn w:val="1"/>
    <w:qFormat/>
    <w:uiPriority w:val="0"/>
    <w:pPr>
      <w:spacing w:after="120" w:afterLines="0" w:afterAutospacing="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11">
    <w:name w:val="表格正文"/>
    <w:basedOn w:val="6"/>
    <w:qFormat/>
    <w:uiPriority w:val="0"/>
    <w:pPr>
      <w:widowControl/>
      <w:spacing w:line="240" w:lineRule="auto"/>
      <w:ind w:firstLine="0" w:firstLineChars="0"/>
      <w:jc w:val="both"/>
      <w:textAlignment w:val="center"/>
    </w:pPr>
    <w:rPr>
      <w:rFonts w:hint="eastAsia" w:ascii="仿宋" w:hAnsi="仿宋" w:eastAsia="仿宋" w:cs="宋体"/>
      <w:color w:val="000000"/>
      <w:kern w:val="0"/>
      <w:sz w:val="28"/>
      <w:u w:val="none"/>
      <w:lang w:bidi="ar"/>
    </w:rPr>
  </w:style>
  <w:style w:type="paragraph" w:customStyle="1" w:styleId="12">
    <w:name w:val="Table Text"/>
    <w:basedOn w:val="1"/>
    <w:semiHidden/>
    <w:qFormat/>
    <w:uiPriority w:val="0"/>
    <w:rPr>
      <w:rFonts w:ascii="宋体" w:hAnsi="宋体" w:eastAsia="宋体" w:cs="宋体"/>
      <w:sz w:val="25"/>
      <w:szCs w:val="25"/>
      <w:lang w:val="en-US" w:eastAsia="en-US" w:bidi="ar-SA"/>
    </w:rPr>
  </w:style>
  <w:style w:type="table" w:customStyle="1" w:styleId="1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5029</Words>
  <Characters>5088</Characters>
  <Lines>0</Lines>
  <Paragraphs>0</Paragraphs>
  <TotalTime>30</TotalTime>
  <ScaleCrop>false</ScaleCrop>
  <LinksUpToDate>false</LinksUpToDate>
  <CharactersWithSpaces>5088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2026-03-17T01:09:00Z</dcterms:created>
  <dc:creator>AL</dc:creator>
  <cp:lastModifiedBy>张土坤</cp:lastModifiedBy>
  <cp:lastPrinted>2026-04-07T03:35:00Z</cp:lastPrinted>
  <dcterms:modified xsi:type="dcterms:W3CDTF">2026-04-20T08:21:38Z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eyJoZGlkIjoiNzJlNTAxMzY0YzJhMjhkNDI0NTBhZDczNzc2MTQ0NGIiLCJ1c2VySWQiOiI1NjkxMjQ0NTMifQ==</vt:lpwstr>
  </property>
  <property fmtid="{D5CDD505-2E9C-101B-9397-08002B2CF9AE}" pid="4" name="ICV">
    <vt:lpwstr>396D681E6F094DAE9C9A36CFC6C02B89_12</vt:lpwstr>
  </property>
</Properties>
</file>